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1A7B1" w14:textId="1D93AA9F" w:rsidR="003721F0" w:rsidRDefault="00D51C1A" w:rsidP="00A4717D">
      <w:pPr>
        <w:spacing w:after="0"/>
        <w:jc w:val="center"/>
        <w:rPr>
          <w:rFonts w:ascii="Times New Roman" w:hAnsi="Times New Roman" w:cs="Times New Roman"/>
          <w:b/>
          <w:sz w:val="24"/>
          <w:szCs w:val="24"/>
          <w:lang w:val="sq-AL" w:bidi="ar-MA"/>
        </w:rPr>
      </w:pPr>
      <w:r>
        <w:rPr>
          <w:rFonts w:ascii="Times New Roman" w:hAnsi="Times New Roman" w:cs="Times New Roman"/>
          <w:b/>
          <w:noProof/>
          <w:lang w:val="en-US"/>
        </w:rPr>
        <w:drawing>
          <wp:inline distT="0" distB="0" distL="0" distR="0" wp14:anchorId="45054AE3" wp14:editId="7716B7FC">
            <wp:extent cx="5676900" cy="87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876300"/>
                    </a:xfrm>
                    <a:prstGeom prst="rect">
                      <a:avLst/>
                    </a:prstGeom>
                    <a:noFill/>
                    <a:ln>
                      <a:noFill/>
                    </a:ln>
                  </pic:spPr>
                </pic:pic>
              </a:graphicData>
            </a:graphic>
          </wp:inline>
        </w:drawing>
      </w:r>
    </w:p>
    <w:p w14:paraId="06695290" w14:textId="3D9D305D" w:rsidR="003721F0" w:rsidRDefault="00D51C1A" w:rsidP="00A4717D">
      <w:pPr>
        <w:spacing w:after="0"/>
        <w:ind w:left="3540" w:firstLine="708"/>
        <w:rPr>
          <w:rFonts w:ascii="Times New Roman" w:hAnsi="Times New Roman" w:cs="Times New Roman"/>
          <w:b/>
          <w:sz w:val="24"/>
          <w:szCs w:val="24"/>
          <w:lang w:val="sq-AL" w:bidi="ar-MA"/>
        </w:rPr>
      </w:pPr>
      <w:r>
        <w:rPr>
          <w:rFonts w:ascii="Times New Roman" w:hAnsi="Times New Roman" w:cs="Times New Roman"/>
          <w:b/>
          <w:sz w:val="24"/>
          <w:szCs w:val="24"/>
          <w:lang w:val="sq-AL" w:bidi="ar-MA"/>
        </w:rPr>
        <w:t>KUVENDI</w:t>
      </w:r>
    </w:p>
    <w:p w14:paraId="1191111E" w14:textId="77777777" w:rsidR="003721F0" w:rsidRDefault="003721F0" w:rsidP="00D65495">
      <w:pPr>
        <w:spacing w:after="0"/>
        <w:jc w:val="center"/>
        <w:rPr>
          <w:rFonts w:ascii="Times New Roman" w:hAnsi="Times New Roman" w:cs="Times New Roman"/>
          <w:b/>
          <w:sz w:val="24"/>
          <w:szCs w:val="24"/>
          <w:lang w:val="sq-AL" w:bidi="ar-MA"/>
        </w:rPr>
      </w:pPr>
    </w:p>
    <w:p w14:paraId="33F0CBF1" w14:textId="77777777" w:rsidR="00A4717D" w:rsidRDefault="00A4717D" w:rsidP="00D51C1A">
      <w:pPr>
        <w:spacing w:after="0"/>
        <w:ind w:left="2880" w:firstLine="720"/>
        <w:rPr>
          <w:rFonts w:ascii="Times New Roman" w:hAnsi="Times New Roman"/>
          <w:b/>
          <w:sz w:val="24"/>
          <w:szCs w:val="24"/>
          <w:lang w:val="sq-AL"/>
        </w:rPr>
      </w:pPr>
    </w:p>
    <w:p w14:paraId="42D02D44" w14:textId="77777777" w:rsidR="00D51C1A" w:rsidRPr="00A84328" w:rsidRDefault="00D51C1A" w:rsidP="00D51C1A">
      <w:pPr>
        <w:spacing w:after="0"/>
        <w:ind w:left="2880" w:firstLine="720"/>
        <w:rPr>
          <w:rFonts w:ascii="Times New Roman" w:hAnsi="Times New Roman"/>
          <w:b/>
          <w:sz w:val="24"/>
          <w:szCs w:val="24"/>
          <w:lang w:val="sq-AL"/>
        </w:rPr>
      </w:pPr>
      <w:r w:rsidRPr="00A84328">
        <w:rPr>
          <w:rFonts w:ascii="Times New Roman" w:hAnsi="Times New Roman"/>
          <w:b/>
          <w:sz w:val="24"/>
          <w:szCs w:val="24"/>
          <w:lang w:val="sq-AL"/>
        </w:rPr>
        <w:t>P R O J E K T L I GJ</w:t>
      </w:r>
    </w:p>
    <w:p w14:paraId="47654F63" w14:textId="77777777" w:rsidR="00D51C1A" w:rsidRPr="00A84328" w:rsidRDefault="00D51C1A" w:rsidP="00D51C1A">
      <w:pPr>
        <w:spacing w:after="0"/>
        <w:rPr>
          <w:rFonts w:ascii="Times New Roman" w:hAnsi="Times New Roman"/>
          <w:b/>
          <w:sz w:val="24"/>
          <w:szCs w:val="24"/>
          <w:lang w:val="sq-AL"/>
        </w:rPr>
      </w:pPr>
    </w:p>
    <w:p w14:paraId="14A35FF6" w14:textId="2FEA6091" w:rsidR="00D51C1A" w:rsidRPr="00A84328" w:rsidRDefault="00D51C1A" w:rsidP="00D51C1A">
      <w:pPr>
        <w:spacing w:after="0"/>
        <w:jc w:val="center"/>
        <w:rPr>
          <w:rFonts w:ascii="Times New Roman" w:hAnsi="Times New Roman"/>
          <w:b/>
          <w:sz w:val="24"/>
          <w:szCs w:val="24"/>
          <w:lang w:val="sq-AL"/>
        </w:rPr>
      </w:pPr>
      <w:r w:rsidRPr="00A84328">
        <w:rPr>
          <w:rFonts w:ascii="Times New Roman" w:hAnsi="Times New Roman"/>
          <w:b/>
          <w:sz w:val="24"/>
          <w:szCs w:val="24"/>
          <w:lang w:val="sq-AL"/>
        </w:rPr>
        <w:t>Nr. _______, datë _________</w:t>
      </w:r>
      <w:r>
        <w:rPr>
          <w:rFonts w:ascii="Times New Roman" w:hAnsi="Times New Roman"/>
          <w:b/>
          <w:sz w:val="24"/>
          <w:szCs w:val="24"/>
          <w:lang w:val="sq-AL"/>
        </w:rPr>
        <w:t>2019</w:t>
      </w:r>
    </w:p>
    <w:p w14:paraId="5AA50F6C" w14:textId="77777777" w:rsidR="00D51C1A" w:rsidRPr="00A84328" w:rsidRDefault="00D51C1A" w:rsidP="00D51C1A">
      <w:pPr>
        <w:spacing w:after="0"/>
        <w:rPr>
          <w:rFonts w:ascii="Times New Roman" w:hAnsi="Times New Roman"/>
          <w:b/>
          <w:sz w:val="24"/>
          <w:szCs w:val="24"/>
          <w:lang w:val="sq-AL"/>
        </w:rPr>
      </w:pPr>
    </w:p>
    <w:p w14:paraId="094D7EC6" w14:textId="77777777" w:rsidR="00D51C1A" w:rsidRPr="003B044E" w:rsidRDefault="00D51C1A" w:rsidP="00D51C1A">
      <w:pPr>
        <w:spacing w:after="0"/>
        <w:jc w:val="center"/>
        <w:rPr>
          <w:rFonts w:ascii="Times New Roman" w:hAnsi="Times New Roman"/>
          <w:b/>
          <w:sz w:val="24"/>
          <w:szCs w:val="24"/>
          <w:lang w:val="sq-AL"/>
        </w:rPr>
      </w:pPr>
      <w:r w:rsidRPr="003B044E">
        <w:rPr>
          <w:rFonts w:ascii="Times New Roman" w:hAnsi="Times New Roman"/>
          <w:b/>
          <w:sz w:val="24"/>
          <w:szCs w:val="24"/>
          <w:lang w:val="sq-AL"/>
        </w:rPr>
        <w:t>“</w:t>
      </w:r>
      <w:bookmarkStart w:id="0" w:name="_GoBack"/>
      <w:r w:rsidRPr="003B044E">
        <w:rPr>
          <w:rFonts w:ascii="Times New Roman" w:hAnsi="Times New Roman"/>
          <w:b/>
          <w:sz w:val="24"/>
          <w:szCs w:val="24"/>
          <w:lang w:val="sq-AL"/>
        </w:rPr>
        <w:t>PËR</w:t>
      </w:r>
    </w:p>
    <w:p w14:paraId="7D0531EA" w14:textId="70790339" w:rsidR="00D51C1A" w:rsidRPr="003B044E" w:rsidRDefault="00752448" w:rsidP="00D51C1A">
      <w:pPr>
        <w:spacing w:after="0"/>
        <w:jc w:val="center"/>
        <w:rPr>
          <w:rFonts w:ascii="Times New Roman" w:hAnsi="Times New Roman"/>
          <w:b/>
          <w:sz w:val="24"/>
          <w:szCs w:val="24"/>
          <w:lang w:val="sq-AL"/>
        </w:rPr>
      </w:pPr>
      <w:r>
        <w:rPr>
          <w:rFonts w:ascii="Times New Roman" w:hAnsi="Times New Roman" w:cs="Times New Roman"/>
          <w:b/>
          <w:sz w:val="24"/>
          <w:szCs w:val="24"/>
        </w:rPr>
        <w:t>REGJIMIN FISKAL NË SEKTORIN HIDROKARBUR</w:t>
      </w:r>
      <w:bookmarkEnd w:id="0"/>
      <w:r w:rsidR="00D51C1A" w:rsidRPr="003B044E">
        <w:rPr>
          <w:rFonts w:ascii="Times New Roman" w:hAnsi="Times New Roman"/>
          <w:b/>
          <w:bCs/>
          <w:sz w:val="24"/>
          <w:szCs w:val="24"/>
          <w:lang w:val="sq-AL"/>
        </w:rPr>
        <w:t>”</w:t>
      </w:r>
    </w:p>
    <w:p w14:paraId="4B58E2DB" w14:textId="77777777" w:rsidR="00D51C1A" w:rsidRPr="003B044E" w:rsidRDefault="00D51C1A" w:rsidP="00D51C1A">
      <w:pPr>
        <w:pStyle w:val="Default"/>
        <w:spacing w:line="276" w:lineRule="auto"/>
        <w:rPr>
          <w:lang w:val="sq-AL"/>
        </w:rPr>
      </w:pPr>
    </w:p>
    <w:p w14:paraId="2C03C759" w14:textId="7127A311" w:rsidR="00D51C1A" w:rsidRPr="008B66B4" w:rsidRDefault="00752448" w:rsidP="00D51C1A">
      <w:pPr>
        <w:pStyle w:val="Default"/>
        <w:spacing w:line="276" w:lineRule="auto"/>
        <w:jc w:val="both"/>
        <w:rPr>
          <w:lang w:val="sq-AL"/>
        </w:rPr>
      </w:pPr>
      <w:r>
        <w:rPr>
          <w:lang w:val="sq-AL"/>
        </w:rPr>
        <w:t xml:space="preserve">Në mbështetje të neneve: 78, </w:t>
      </w:r>
      <w:r w:rsidR="00D51C1A" w:rsidRPr="008B66B4">
        <w:rPr>
          <w:lang w:val="sq-AL"/>
        </w:rPr>
        <w:t xml:space="preserve">83 pika 1 </w:t>
      </w:r>
      <w:r>
        <w:rPr>
          <w:lang w:val="sq-AL"/>
        </w:rPr>
        <w:t xml:space="preserve">dhe 155 </w:t>
      </w:r>
      <w:r w:rsidR="00D51C1A" w:rsidRPr="008B66B4">
        <w:rPr>
          <w:lang w:val="sq-AL"/>
        </w:rPr>
        <w:t>të Kushtetutës, me propozimin e Këshillit të Ministrave, Kuvendi i Republikës së Shqipërisë:</w:t>
      </w:r>
    </w:p>
    <w:p w14:paraId="2803685E" w14:textId="77777777" w:rsidR="00D51C1A" w:rsidRPr="008B66B4" w:rsidRDefault="00D51C1A" w:rsidP="00D51C1A">
      <w:pPr>
        <w:pStyle w:val="Default"/>
        <w:spacing w:line="276" w:lineRule="auto"/>
        <w:ind w:left="2880"/>
        <w:rPr>
          <w:lang w:val="sq-AL"/>
        </w:rPr>
      </w:pPr>
    </w:p>
    <w:p w14:paraId="25C7991E" w14:textId="77777777" w:rsidR="00D51C1A" w:rsidRPr="008B66B4" w:rsidRDefault="00D51C1A" w:rsidP="00D51C1A">
      <w:pPr>
        <w:pStyle w:val="Default"/>
        <w:spacing w:line="276" w:lineRule="auto"/>
        <w:jc w:val="center"/>
        <w:rPr>
          <w:b/>
          <w:lang w:val="sq-AL"/>
        </w:rPr>
      </w:pPr>
      <w:r w:rsidRPr="008B66B4">
        <w:rPr>
          <w:b/>
          <w:lang w:val="sq-AL"/>
        </w:rPr>
        <w:t xml:space="preserve">V E N D O S I: </w:t>
      </w:r>
    </w:p>
    <w:p w14:paraId="52553654" w14:textId="77777777" w:rsidR="00D51C1A" w:rsidRPr="00D65495" w:rsidRDefault="00D51C1A" w:rsidP="00D65495">
      <w:pPr>
        <w:spacing w:after="0"/>
        <w:jc w:val="center"/>
        <w:rPr>
          <w:rFonts w:ascii="Times New Roman" w:hAnsi="Times New Roman" w:cs="Times New Roman"/>
          <w:b/>
          <w:sz w:val="24"/>
          <w:szCs w:val="24"/>
          <w:lang w:val="sq-AL" w:bidi="ar-MA"/>
        </w:rPr>
      </w:pPr>
    </w:p>
    <w:p w14:paraId="32BB8C7F" w14:textId="77777777" w:rsidR="004858D4" w:rsidRPr="00D65495" w:rsidRDefault="004858D4" w:rsidP="00D65495">
      <w:pPr>
        <w:spacing w:after="0"/>
        <w:jc w:val="center"/>
        <w:rPr>
          <w:rFonts w:ascii="Times New Roman" w:hAnsi="Times New Roman" w:cs="Times New Roman"/>
          <w:b/>
          <w:sz w:val="24"/>
          <w:szCs w:val="24"/>
          <w:lang w:val="sq-AL" w:bidi="ar-MA"/>
        </w:rPr>
      </w:pPr>
    </w:p>
    <w:p w14:paraId="6B0DC35F"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KAPITULLI I</w:t>
      </w:r>
    </w:p>
    <w:p w14:paraId="0A0CF66C" w14:textId="77777777" w:rsidR="00752448" w:rsidRPr="002E7011" w:rsidRDefault="00752448" w:rsidP="00752448">
      <w:pPr>
        <w:spacing w:after="0"/>
        <w:jc w:val="center"/>
        <w:rPr>
          <w:rFonts w:ascii="Times New Roman" w:eastAsia="Calibri" w:hAnsi="Times New Roman" w:cs="Times New Roman"/>
          <w:b/>
          <w:smallCaps/>
          <w:sz w:val="24"/>
          <w:szCs w:val="24"/>
          <w:lang w:val="sq-AL"/>
        </w:rPr>
      </w:pPr>
      <w:r w:rsidRPr="002E7011">
        <w:rPr>
          <w:rFonts w:ascii="Times New Roman" w:eastAsia="Calibri" w:hAnsi="Times New Roman" w:cs="Times New Roman"/>
          <w:b/>
          <w:sz w:val="24"/>
          <w:szCs w:val="24"/>
          <w:lang w:val="sq-AL"/>
        </w:rPr>
        <w:t>DISPOZITA TË PËRGJITHSHME</w:t>
      </w:r>
    </w:p>
    <w:p w14:paraId="2E5637B8" w14:textId="77777777" w:rsidR="00752448" w:rsidRPr="002E7011" w:rsidRDefault="00752448" w:rsidP="00752448">
      <w:pPr>
        <w:spacing w:after="0"/>
        <w:jc w:val="center"/>
        <w:rPr>
          <w:rFonts w:ascii="Times New Roman" w:eastAsia="Calibri" w:hAnsi="Times New Roman" w:cs="Times New Roman"/>
          <w:b/>
          <w:sz w:val="24"/>
          <w:szCs w:val="24"/>
          <w:lang w:val="sq-AL"/>
        </w:rPr>
      </w:pPr>
    </w:p>
    <w:p w14:paraId="3CA4674F"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1</w:t>
      </w:r>
    </w:p>
    <w:p w14:paraId="0A1C16E5"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lastRenderedPageBreak/>
        <w:t>Objekti i ligjit</w:t>
      </w:r>
    </w:p>
    <w:p w14:paraId="72A716D2" w14:textId="77777777" w:rsidR="00752448" w:rsidRPr="002E7011" w:rsidRDefault="00752448" w:rsidP="00752448">
      <w:pPr>
        <w:spacing w:after="0"/>
        <w:jc w:val="center"/>
        <w:rPr>
          <w:rFonts w:ascii="Times New Roman" w:eastAsia="Calibri" w:hAnsi="Times New Roman" w:cs="Times New Roman"/>
          <w:sz w:val="24"/>
          <w:szCs w:val="24"/>
          <w:lang w:val="sq-AL"/>
        </w:rPr>
      </w:pPr>
    </w:p>
    <w:p w14:paraId="0F236902"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Ky ligj parashikon regjimin fiskal të zbatueshëm për operacionet hidrokarbure  siç rregullohen me ligjin nr.7746, datë 28.07.1993 "Për hidrokarburet (kërkimi  dhe prodhimi)", i ndryshuar.</w:t>
      </w:r>
    </w:p>
    <w:p w14:paraId="5C8028CC"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BAA075B"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4E90175"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2</w:t>
      </w:r>
    </w:p>
    <w:p w14:paraId="79E99F58" w14:textId="6D7D8941"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Personat e tatueshëm</w:t>
      </w:r>
    </w:p>
    <w:p w14:paraId="1292FBDE" w14:textId="77777777" w:rsidR="00752448" w:rsidRPr="002E7011" w:rsidRDefault="00752448" w:rsidP="00752448">
      <w:pPr>
        <w:spacing w:after="0"/>
        <w:jc w:val="center"/>
        <w:rPr>
          <w:rFonts w:ascii="Times New Roman" w:eastAsia="Calibri" w:hAnsi="Times New Roman" w:cs="Times New Roman"/>
          <w:sz w:val="24"/>
          <w:szCs w:val="24"/>
          <w:lang w:val="sq-AL"/>
        </w:rPr>
      </w:pPr>
    </w:p>
    <w:p w14:paraId="2BD521BB"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      Ky ligj zbatohet për personat që kryejnë operacione hidrokarbure . Ai zbatohet për personat që kryejnë operacione hidrokabure  në mënyrë të paautorizuar në të njëjtën mënyrë siç aplikohet për personat që kryejnë operacione hidrokarbure të autorizuara.</w:t>
      </w:r>
    </w:p>
    <w:p w14:paraId="2A7BD19C"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B251CDE" w14:textId="03DB4E09"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Për të parandaluar shmangien e regjimit fiskal, ky ligj mund të shtrihet dhe zbatohet  edhe për personat që k</w:t>
      </w:r>
      <w:r w:rsidR="00431943">
        <w:rPr>
          <w:rFonts w:ascii="Times New Roman" w:eastAsia="Calibri" w:hAnsi="Times New Roman" w:cs="Times New Roman"/>
          <w:sz w:val="24"/>
          <w:szCs w:val="24"/>
          <w:lang w:val="sq-AL"/>
        </w:rPr>
        <w:t xml:space="preserve">ryejnë operacione hidrokarbure </w:t>
      </w:r>
      <w:r w:rsidRPr="002E7011">
        <w:rPr>
          <w:rFonts w:ascii="Times New Roman" w:eastAsia="Calibri" w:hAnsi="Times New Roman" w:cs="Times New Roman"/>
          <w:sz w:val="24"/>
          <w:szCs w:val="24"/>
          <w:lang w:val="sq-AL"/>
        </w:rPr>
        <w:t>në emër të personave të tjerë (të referuar si "nënkontraktorë").</w:t>
      </w:r>
    </w:p>
    <w:p w14:paraId="09D170A1"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2DA8D41"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3)     Përcaktimet sipas  paragrafit 2) bëhen me vendim të Këshillit të Ministrave, duke marrë  në konsideratë faktorët e mëposhtëm:</w:t>
      </w:r>
    </w:p>
    <w:p w14:paraId="5569DC5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937CF40" w14:textId="258A59CE"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a)     nëse nënkontraktori i është i lidhur me personin që kryen operacionet hidrok</w:t>
      </w:r>
      <w:r w:rsidR="00431943">
        <w:rPr>
          <w:rFonts w:ascii="Times New Roman" w:eastAsia="Calibri" w:hAnsi="Times New Roman" w:cs="Times New Roman"/>
          <w:sz w:val="24"/>
          <w:szCs w:val="24"/>
          <w:lang w:val="sq-AL"/>
        </w:rPr>
        <w:t>arbure</w:t>
      </w:r>
      <w:r w:rsidRPr="002E7011">
        <w:rPr>
          <w:rFonts w:ascii="Times New Roman" w:eastAsia="Calibri" w:hAnsi="Times New Roman" w:cs="Times New Roman"/>
          <w:sz w:val="24"/>
          <w:szCs w:val="24"/>
          <w:lang w:val="sq-AL"/>
        </w:rPr>
        <w:t>;</w:t>
      </w:r>
    </w:p>
    <w:p w14:paraId="4D16A091"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781ABE1A"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     nëse nënkontraktori është operatori në lidhje me operacionet hidrokarbure;</w:t>
      </w:r>
    </w:p>
    <w:p w14:paraId="34FBED13"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3FC2AEAB" w14:textId="69A5FB16"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c)    nëse n</w:t>
      </w:r>
      <w:r w:rsidR="00833AE6">
        <w:rPr>
          <w:rFonts w:ascii="Times New Roman" w:eastAsia="Calibri" w:hAnsi="Times New Roman" w:cs="Times New Roman"/>
          <w:sz w:val="24"/>
          <w:szCs w:val="24"/>
          <w:lang w:val="sq-AL"/>
        </w:rPr>
        <w:t xml:space="preserve">ënkontraktori kryen aktivitete </w:t>
      </w:r>
      <w:r w:rsidRPr="002E7011">
        <w:rPr>
          <w:rFonts w:ascii="Times New Roman" w:eastAsia="Calibri" w:hAnsi="Times New Roman" w:cs="Times New Roman"/>
          <w:sz w:val="24"/>
          <w:szCs w:val="24"/>
          <w:lang w:val="sq-AL"/>
        </w:rPr>
        <w:t>të cilat janë</w:t>
      </w:r>
      <w:r w:rsidR="00833AE6">
        <w:rPr>
          <w:rFonts w:ascii="Times New Roman" w:eastAsia="Calibri" w:hAnsi="Times New Roman" w:cs="Times New Roman"/>
          <w:sz w:val="24"/>
          <w:szCs w:val="24"/>
          <w:lang w:val="sq-AL"/>
        </w:rPr>
        <w:t xml:space="preserve"> kryesore </w:t>
      </w:r>
      <w:r w:rsidRPr="002E7011">
        <w:rPr>
          <w:rFonts w:ascii="Times New Roman" w:eastAsia="Calibri" w:hAnsi="Times New Roman" w:cs="Times New Roman"/>
          <w:sz w:val="24"/>
          <w:szCs w:val="24"/>
          <w:lang w:val="sq-AL"/>
        </w:rPr>
        <w:t>ose ndihmëse për operacionet hidrokarbure;</w:t>
      </w:r>
    </w:p>
    <w:p w14:paraId="2AB3BBE0"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4C3B4D7A" w14:textId="77777777" w:rsidR="00752448" w:rsidRPr="002E7011" w:rsidRDefault="00752448" w:rsidP="00752448">
      <w:pPr>
        <w:spacing w:after="0"/>
        <w:ind w:left="450" w:hanging="45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d)   niveli i kontributit, qoftë i bazuar në qarkullim xhiro apo në ndonjë mënyrë tjetër, i dhënë nga nënkontraktori për operacionet hidrokarbure  kur krahasohet me kontributet e dhëna nga persona të tjerë; dhe</w:t>
      </w:r>
    </w:p>
    <w:p w14:paraId="1A1817A4"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294FABA5" w14:textId="77777777" w:rsidR="00752448" w:rsidRPr="002E7011" w:rsidRDefault="00752448" w:rsidP="00752448">
      <w:pPr>
        <w:spacing w:after="0"/>
        <w:ind w:left="360" w:hanging="36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e)</w:t>
      </w:r>
      <w:r>
        <w:rPr>
          <w:rFonts w:ascii="Times New Roman" w:eastAsia="Calibri" w:hAnsi="Times New Roman" w:cs="Times New Roman"/>
          <w:sz w:val="24"/>
          <w:szCs w:val="24"/>
          <w:lang w:val="sq-AL"/>
        </w:rPr>
        <w:tab/>
      </w:r>
      <w:r w:rsidRPr="002E7011">
        <w:rPr>
          <w:rFonts w:ascii="Times New Roman" w:eastAsia="Calibri" w:hAnsi="Times New Roman" w:cs="Times New Roman"/>
          <w:sz w:val="24"/>
          <w:szCs w:val="24"/>
          <w:lang w:val="sq-AL"/>
        </w:rPr>
        <w:t xml:space="preserve">nëse qëllimi kryesor i marrëveshjeve me nënkontraktorin është reduktimi i tatimeve/taksave, të cilat ndryshe do të ishin të pagueshme sipas këtij ligji. </w:t>
      </w:r>
    </w:p>
    <w:p w14:paraId="7078B434"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1A611DF"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3</w:t>
      </w:r>
    </w:p>
    <w:p w14:paraId="3B086FE7"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Taksat/Tatimet e rregulluara me këtë ligj</w:t>
      </w:r>
    </w:p>
    <w:p w14:paraId="4DB9CD3B" w14:textId="77777777" w:rsidR="00752448" w:rsidRPr="002E7011" w:rsidRDefault="00752448" w:rsidP="00752448">
      <w:pPr>
        <w:spacing w:after="0"/>
        <w:jc w:val="both"/>
        <w:rPr>
          <w:rFonts w:ascii="Times New Roman" w:eastAsia="Calibri" w:hAnsi="Times New Roman" w:cs="Times New Roman"/>
          <w:b/>
          <w:sz w:val="24"/>
          <w:szCs w:val="24"/>
          <w:lang w:val="sq-AL"/>
        </w:rPr>
      </w:pPr>
    </w:p>
    <w:p w14:paraId="6C0321E1"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     Kapitujt II dhe III të këtij ligji rregullojnë detyrimin për  taksën mbi rentën  dhe tatimin mbi fitimin  për  operacionet hidrokarbure  dhe Kapitulli V rregullon administrimin e këtyre taksave/tatimeve.</w:t>
      </w:r>
    </w:p>
    <w:p w14:paraId="4F379F96"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23F2183B"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Kapitulli IV rregullon masën në të cilën një marrëveshje hidrokarbure  mund të ndikojë në detyrimin për vendosjen e taksave dhe tatimeve. Kapitulli IV shtrihet për të gjitha taksat/tatimet vendore dhe kombëtare.</w:t>
      </w:r>
    </w:p>
    <w:p w14:paraId="1998680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6DA964E"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4</w:t>
      </w:r>
    </w:p>
    <w:p w14:paraId="0AC4DAB2"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Përkufizimet</w:t>
      </w:r>
    </w:p>
    <w:p w14:paraId="3D06A685"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32F1D93"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w:t>
      </w:r>
      <w:r w:rsidRPr="002E7011">
        <w:rPr>
          <w:rFonts w:ascii="Times New Roman" w:eastAsia="Calibri" w:hAnsi="Times New Roman" w:cs="Times New Roman"/>
          <w:sz w:val="24"/>
          <w:szCs w:val="24"/>
          <w:lang w:val="sq-AL"/>
        </w:rPr>
        <w:tab/>
        <w:t>Në këtë Ligj-</w:t>
      </w:r>
    </w:p>
    <w:p w14:paraId="018E6167"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4E3B6D75" w14:textId="77777777" w:rsidR="00752448"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"fond  i miratuar i rehabilitimit</w:t>
      </w:r>
      <w:r>
        <w:rPr>
          <w:rFonts w:ascii="Times New Roman" w:eastAsia="Calibri" w:hAnsi="Times New Roman" w:cs="Times New Roman"/>
          <w:sz w:val="24"/>
          <w:szCs w:val="24"/>
          <w:lang w:val="sq-AL"/>
        </w:rPr>
        <w:t>”</w:t>
      </w:r>
      <w:r w:rsidRPr="002E7011">
        <w:rPr>
          <w:rFonts w:ascii="Times New Roman" w:eastAsia="Calibri" w:hAnsi="Times New Roman" w:cs="Times New Roman"/>
          <w:sz w:val="24"/>
          <w:szCs w:val="24"/>
          <w:lang w:val="sq-AL"/>
        </w:rPr>
        <w:t xml:space="preserve"> në lidhje me një operacion të veçantë hidrokarbur</w:t>
      </w:r>
      <w:r>
        <w:rPr>
          <w:rFonts w:ascii="Times New Roman" w:eastAsia="Calibri" w:hAnsi="Times New Roman" w:cs="Times New Roman"/>
          <w:sz w:val="24"/>
          <w:szCs w:val="24"/>
          <w:lang w:val="sq-AL"/>
        </w:rPr>
        <w:t xml:space="preserve"> nënkupton</w:t>
      </w:r>
    </w:p>
    <w:p w14:paraId="58E2EE75"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një fond</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w:t>
      </w:r>
    </w:p>
    <w:p w14:paraId="14E2D25A"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5CAC83FC"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të kërkuar me ligj ose me të drejtën hidrokarbure</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dhe të miratuar për këtë qëllim nga Ministri përgjegjës për çështjet hidrokarbure.</w:t>
      </w:r>
    </w:p>
    <w:p w14:paraId="61504AB6"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604F2519"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t>të krijuar për të plotësuar shpenzimet që do të lindin për braktisjen, rehabilitimin dhe eliminimin  e operacionit dhe</w:t>
      </w:r>
    </w:p>
    <w:p w14:paraId="574F0905"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0E19F5F6"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c) </w:t>
      </w:r>
      <w:r w:rsidRPr="002E7011">
        <w:rPr>
          <w:rFonts w:ascii="Times New Roman" w:eastAsia="Calibri" w:hAnsi="Times New Roman" w:cs="Times New Roman"/>
          <w:sz w:val="24"/>
          <w:szCs w:val="24"/>
          <w:lang w:val="sq-AL"/>
        </w:rPr>
        <w:tab/>
        <w:t>kur kontributet për fondin janë vendosur jashtë kontrollit të personit që kryen operacionin ose palës së lidhur;</w:t>
      </w:r>
    </w:p>
    <w:p w14:paraId="14FD9C7C"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60690AC6"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"operacionet e autorizuara hidrokarbure" nënkupton operacionet hidrokarbure</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të autorizuara sipas nenit 4 të ligjit nr.7746, datë 28.7.1993 "Për hidrokarburet (kërkimi</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dhe prodhimi)", i ndryshuar;</w:t>
      </w:r>
    </w:p>
    <w:p w14:paraId="38CF43F1"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026E519E"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"zonë e kontratës" ka kuptimin e dhënë në nenin 2 të ligjit nr.7746, datë 28.07.1993 "Për hidrokarburet (kërkimi</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dhe prodhimi)", i ndryshuar;</w:t>
      </w:r>
    </w:p>
    <w:p w14:paraId="5D3DBE70"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24BFB6B1"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"zonë zhvillimi" nënkupton zonën e identifikuar në një plan zhvillimi të miratuar nga Ministri përgjegjës për çështjet hidrokarbure</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sipas nenit 6 të ligjit nr.</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7746, datë 28.07.1993 "Për hidrokarburet (kërkimi</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dhe prodhimi)", i ndryshuar;</w:t>
      </w:r>
    </w:p>
    <w:p w14:paraId="69D07346"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7CE32F80"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"plan zhvillimi" ka kuptimin e dhënë në nenin 2 të ligjit nr.7746, datë 28.7.1993 "Për hidrokarburet (kërkimi</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dhe prodhimi)", i ndryshuar;</w:t>
      </w:r>
    </w:p>
    <w:p w14:paraId="32A230FF"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133E64E8"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"marrëveshje shkëmbimi" në lidhje me të drejtën</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 xml:space="preserve">hidrokarbure, përfshin një marrëveshje për transferimin e një pjese të së drejtës në këmbim të pagesës që përfshin në tërësi ose pjesërisht një detyrim nga ana e marrësit, për të paguar një shumë shpenzimesh të ardhshme në lidhje me operacionet hidrokarbure të kryera sipas </w:t>
      </w:r>
      <w:r w:rsidRPr="002E7011">
        <w:rPr>
          <w:rFonts w:ascii="Times New Roman" w:eastAsia="Calibri" w:hAnsi="Times New Roman" w:cs="Times New Roman"/>
          <w:sz w:val="24"/>
          <w:szCs w:val="24"/>
          <w:lang w:val="sq-AL"/>
        </w:rPr>
        <w:lastRenderedPageBreak/>
        <w:t>të drejtës që është joproporcionale me interesin e marrësit në të drejtën;</w:t>
      </w:r>
    </w:p>
    <w:p w14:paraId="5BB1C995"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4E8F46E6"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 renta </w:t>
      </w:r>
      <w:r>
        <w:rPr>
          <w:rFonts w:ascii="Times New Roman" w:eastAsia="Calibri" w:hAnsi="Times New Roman" w:cs="Times New Roman"/>
          <w:sz w:val="24"/>
          <w:szCs w:val="24"/>
          <w:lang w:val="sq-AL"/>
        </w:rPr>
        <w:t>e apliku</w:t>
      </w:r>
      <w:r w:rsidRPr="00594EBE">
        <w:rPr>
          <w:rFonts w:ascii="Times New Roman" w:eastAsia="Calibri" w:hAnsi="Times New Roman" w:cs="Times New Roman"/>
          <w:sz w:val="24"/>
          <w:szCs w:val="24"/>
          <w:lang w:val="sq-AL"/>
        </w:rPr>
        <w:t>eshme</w:t>
      </w:r>
      <w:r w:rsidRPr="002E7011">
        <w:rPr>
          <w:rFonts w:ascii="Times New Roman" w:eastAsia="Calibri" w:hAnsi="Times New Roman" w:cs="Times New Roman"/>
          <w:sz w:val="24"/>
          <w:szCs w:val="24"/>
          <w:lang w:val="sq-AL"/>
        </w:rPr>
        <w:t>" nënkupton një pagesë periodike në masën në të cilën llogaritet duke iu referuar fitimit, prodhimit ose naftës së nxjerrë nga ndonjë operacion i lidhur me naftën ose jo, qoftë i kryer nga personi që kryen pagesën ose ndryshe;</w:t>
      </w:r>
    </w:p>
    <w:p w14:paraId="699FC35D"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3116B083"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"naftë", "marrëveshje hidrokarbure " dhe "operacionet  hidrokarbure " kanë kuptimet e dhëna në nenin 2 të ligjit nr.7746, datë 28.07.1993 "Për hidrokarburet (kërkimi dhe prodhimi)", i ndryshuar;</w:t>
      </w:r>
    </w:p>
    <w:p w14:paraId="4E7E5061"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5EDE7B51"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"e drejtë hidrokarbure" nënkupton të drejtën e një personi për të kryer operacione hidrokarbure, duke përfshirë të drejtën e një personi sipas një marrëveshjeje hidrokarbure dhe të drejtën e nënkontraktuesit për të cilën zbatohet ky Ligj sipas nenit 2 për të kryer operacione hidrokarbure në emër të një personi tjetër;</w:t>
      </w:r>
    </w:p>
    <w:p w14:paraId="182DC9B7"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2FA02B8D"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"autoritet rregullator" nënkupton autoritetin përgjegjës për rregullimin e çështjeve hidrokarbure sipas ligjit nr.7746, datë 28.07.1993 "Për hidrokarburet (kërkimi dhe prodhimi)", i ndryshuar;</w:t>
      </w:r>
    </w:p>
    <w:p w14:paraId="2EB3914C"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39D9D89E"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 xml:space="preserve">"operacion </w:t>
      </w:r>
      <w:r w:rsidRPr="00594EBE">
        <w:rPr>
          <w:rFonts w:ascii="Times New Roman" w:eastAsia="Calibri" w:hAnsi="Times New Roman" w:cs="Times New Roman"/>
          <w:sz w:val="24"/>
          <w:szCs w:val="24"/>
          <w:lang w:val="sq-AL"/>
        </w:rPr>
        <w:t>i veçantë</w:t>
      </w:r>
      <w:r w:rsidRPr="002E7011">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hidrokarbur</w:t>
      </w:r>
      <w:r w:rsidRPr="002E7011">
        <w:rPr>
          <w:rFonts w:ascii="Times New Roman" w:eastAsia="Calibri" w:hAnsi="Times New Roman" w:cs="Times New Roman"/>
          <w:sz w:val="24"/>
          <w:szCs w:val="24"/>
          <w:lang w:val="sq-AL"/>
        </w:rPr>
        <w:t>" ka kuptimin e dhënë në nenin 8 të këtij ligji;</w:t>
      </w:r>
    </w:p>
    <w:p w14:paraId="7557EE3A"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495B1630"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"nënkontraktues" ka kuptimin e dhënë në nenin 2 të këtij ligji;</w:t>
      </w:r>
    </w:p>
    <w:p w14:paraId="466F17AA"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p>
    <w:p w14:paraId="2EEBA1A3"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"taksë" nënkupton taksat e vendosura nga Republika e Shqipërisë dhe përfshin taksat doganore, akcizat, tatimin mbi fitimin, rentën, tatimin mbi vlerën e shtuar dhe taksat vendore</w:t>
      </w:r>
      <w:r>
        <w:rPr>
          <w:rFonts w:ascii="Times New Roman" w:eastAsia="Calibri" w:hAnsi="Times New Roman" w:cs="Times New Roman"/>
          <w:sz w:val="24"/>
          <w:szCs w:val="24"/>
          <w:lang w:val="sq-AL"/>
        </w:rPr>
        <w:t>;</w:t>
      </w:r>
      <w:r w:rsidRPr="002E7011">
        <w:rPr>
          <w:rFonts w:ascii="Times New Roman" w:eastAsia="Calibri" w:hAnsi="Times New Roman" w:cs="Times New Roman"/>
          <w:sz w:val="24"/>
          <w:szCs w:val="24"/>
          <w:lang w:val="sq-AL"/>
        </w:rPr>
        <w:t xml:space="preserve"> dhe</w:t>
      </w:r>
    </w:p>
    <w:p w14:paraId="20A4ABA1"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85908EA"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"rregullat e  tranferimit të çmimit" nënkupton rregullat e neneve 36 deri 36/7 të Ligjit nr. 8438, datë 28.12.1998 "Për tatimin mbi të ardhurat", i ndryshuar, të zbatuara pa kufizime ndërkufitare dhe pavarësisht nëse transaksioni kryhet tërësisht brenda Shqipërisë ose nga palët rezidente ose jorezidente.</w:t>
      </w:r>
    </w:p>
    <w:p w14:paraId="3AB7F983"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EEBDDC6"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Termat që nuk janë përcaktuar në këtë ligj kanë kuptim në përputhje me përdorimin e tyre në Ligjin nr. 8438, datë 28.12.1998 "Për tatimin mbi të ardhurat", i ndryshuar, përveç nëse konteksti kërkon një kuptim tjetër.</w:t>
      </w:r>
    </w:p>
    <w:p w14:paraId="79A7BDD5"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32A8A78" w14:textId="77777777" w:rsidR="00752448" w:rsidRPr="002E7011" w:rsidRDefault="00752448" w:rsidP="00752448">
      <w:pPr>
        <w:spacing w:after="0"/>
        <w:jc w:val="center"/>
        <w:rPr>
          <w:rFonts w:ascii="Times New Roman" w:eastAsia="Calibri" w:hAnsi="Times New Roman" w:cs="Times New Roman"/>
          <w:b/>
          <w:smallCaps/>
          <w:sz w:val="24"/>
          <w:szCs w:val="24"/>
          <w:lang w:val="sq-AL"/>
        </w:rPr>
      </w:pPr>
      <w:r w:rsidRPr="002E7011">
        <w:rPr>
          <w:rFonts w:ascii="Times New Roman" w:eastAsia="Calibri" w:hAnsi="Times New Roman" w:cs="Times New Roman"/>
          <w:b/>
          <w:sz w:val="24"/>
          <w:szCs w:val="24"/>
          <w:lang w:val="sq-AL"/>
        </w:rPr>
        <w:t>KAPITULLI II</w:t>
      </w:r>
    </w:p>
    <w:p w14:paraId="020EDB44"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Renta Minerare</w:t>
      </w:r>
    </w:p>
    <w:p w14:paraId="0EFE5FA0" w14:textId="77777777" w:rsidR="00752448" w:rsidRPr="002E7011" w:rsidRDefault="00752448" w:rsidP="00752448">
      <w:pPr>
        <w:spacing w:after="0"/>
        <w:jc w:val="both"/>
        <w:rPr>
          <w:rFonts w:ascii="Times New Roman" w:eastAsia="Calibri" w:hAnsi="Times New Roman" w:cs="Times New Roman"/>
          <w:b/>
          <w:sz w:val="24"/>
          <w:szCs w:val="24"/>
          <w:lang w:val="sq-AL"/>
        </w:rPr>
      </w:pPr>
    </w:p>
    <w:p w14:paraId="4FA73F23"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5</w:t>
      </w:r>
    </w:p>
    <w:p w14:paraId="5E2E1388"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lastRenderedPageBreak/>
        <w:t>Vendosja e rentës</w:t>
      </w:r>
    </w:p>
    <w:p w14:paraId="28B01EE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79D4262"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     Mbajtësi i një të drejte hidrokarbure duhet të paguajë  rentë për naftën e nxjerrë në bazë të së drejtës.</w:t>
      </w:r>
    </w:p>
    <w:p w14:paraId="37085642"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55E205B5"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Renta  llogaritet duke aplikuar një normë prej dhjetë për qind të vlerës së tregut të naftës së nxjerrë, siç përcaktohet në</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nenin 6.</w:t>
      </w:r>
    </w:p>
    <w:p w14:paraId="5B01C186"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6D6A2A89"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3)    Sasia  e naftës së nxjerrë-</w:t>
      </w:r>
    </w:p>
    <w:p w14:paraId="1CEEC973"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0FB3080A"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       matet në pikën e shpërndarjes siç parashikohet në marrëveshjen përkatëse hidrokarbure ose</w:t>
      </w:r>
    </w:p>
    <w:p w14:paraId="62481124"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01C6840C"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t>në mungesë të një dispozite të tillë, matet në pikën e caktuar nga Ministri përgjegjës për çështjet hidrokarbure.</w:t>
      </w:r>
    </w:p>
    <w:p w14:paraId="37C47E67"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0831F82F"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4)    </w:t>
      </w:r>
      <w:r>
        <w:rPr>
          <w:rFonts w:ascii="Times New Roman" w:eastAsia="Calibri" w:hAnsi="Times New Roman" w:cs="Times New Roman"/>
          <w:sz w:val="24"/>
          <w:szCs w:val="24"/>
          <w:lang w:val="sq-AL"/>
        </w:rPr>
        <w:t>Nuk aplikohet rentë për:</w:t>
      </w:r>
    </w:p>
    <w:p w14:paraId="000AE77D"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3D5F53AB"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mostrat e naftës të marra për analizë, shqyrtim , ekzaminime ose testime të tjera, por renta paguhet nëse një mostër shitet dhe</w:t>
      </w:r>
    </w:p>
    <w:p w14:paraId="0D1995E0"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29976FD1"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       nafta që në përputhje me marrëveshjen hidrokarbure është -</w:t>
      </w:r>
    </w:p>
    <w:p w14:paraId="31A97CAB"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4E207A7F"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i)        djegur ose çliruar në lidhje me operacionet hidrokarbure ose</w:t>
      </w:r>
    </w:p>
    <w:p w14:paraId="4F0833D3"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08B90FC1"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ii)      përdoret drejtpërdrejt në të njëjtin operacion </w:t>
      </w:r>
      <w:r w:rsidRPr="005635AA">
        <w:rPr>
          <w:rFonts w:ascii="Times New Roman" w:eastAsia="Calibri" w:hAnsi="Times New Roman" w:cs="Times New Roman"/>
          <w:sz w:val="24"/>
          <w:szCs w:val="24"/>
          <w:lang w:val="sq-AL"/>
        </w:rPr>
        <w:t>të veçantë</w:t>
      </w:r>
      <w:r w:rsidRPr="002E7011">
        <w:rPr>
          <w:rFonts w:ascii="Times New Roman" w:eastAsia="Calibri" w:hAnsi="Times New Roman" w:cs="Times New Roman"/>
          <w:sz w:val="24"/>
          <w:szCs w:val="24"/>
          <w:lang w:val="sq-AL"/>
        </w:rPr>
        <w:t xml:space="preserve"> hidrokarbur nga i cili nxirret.</w:t>
      </w:r>
    </w:p>
    <w:p w14:paraId="3E9E1A62"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5266EF14"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5)     </w:t>
      </w:r>
      <w:r w:rsidRPr="002E7011">
        <w:rPr>
          <w:rFonts w:ascii="Times New Roman" w:eastAsia="Calibri" w:hAnsi="Times New Roman" w:cs="Times New Roman"/>
          <w:sz w:val="24"/>
          <w:szCs w:val="24"/>
          <w:lang w:val="sq-AL"/>
        </w:rPr>
        <w:tab/>
        <w:t xml:space="preserve"> Renta paguhet në kohën dhe sipas procedurës së përcaktuar në Kapitullin V.</w:t>
      </w:r>
    </w:p>
    <w:p w14:paraId="51EEA51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B3F25A3"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6</w:t>
      </w:r>
    </w:p>
    <w:p w14:paraId="5093BB5A"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Vlera e tregut e naftës së nxjerrë</w:t>
      </w:r>
    </w:p>
    <w:p w14:paraId="4E873D11" w14:textId="77777777" w:rsidR="00752448" w:rsidRPr="002E7011" w:rsidRDefault="00752448" w:rsidP="00752448">
      <w:pPr>
        <w:spacing w:after="0"/>
        <w:jc w:val="center"/>
        <w:rPr>
          <w:rFonts w:ascii="Times New Roman" w:eastAsia="Calibri" w:hAnsi="Times New Roman" w:cs="Times New Roman"/>
          <w:sz w:val="24"/>
          <w:szCs w:val="24"/>
          <w:lang w:val="sq-AL"/>
        </w:rPr>
      </w:pPr>
    </w:p>
    <w:p w14:paraId="353E990E"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     Për qëllime të llogaritjes së rentës, vlera e tregut e naftës së nxjerrë është-</w:t>
      </w:r>
    </w:p>
    <w:p w14:paraId="3D828CCC"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5460385D"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 xml:space="preserve"> çmimi me të cilin nafta shitet i reduktuar nga kostot e shkaktuara</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përtej pikës së lëvrimit</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(përmbledhje e kostove) ose</w:t>
      </w:r>
    </w:p>
    <w:p w14:paraId="0A5F21DA"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EA26868" w14:textId="77777777" w:rsidR="00752448" w:rsidRPr="00AC073D" w:rsidRDefault="00752448" w:rsidP="00752448">
      <w:pPr>
        <w:autoSpaceDE w:val="0"/>
        <w:autoSpaceDN w:val="0"/>
        <w:adjustRightInd w:val="0"/>
        <w:spacing w:after="0"/>
        <w:ind w:left="567" w:hanging="567"/>
        <w:jc w:val="both"/>
        <w:rPr>
          <w:rFonts w:ascii="Times New Roman" w:eastAsia="Calibri" w:hAnsi="Times New Roman" w:cs="Times New Roman"/>
          <w:color w:val="000000" w:themeColor="text1"/>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r>
      <w:r w:rsidRPr="00AC073D">
        <w:rPr>
          <w:rFonts w:ascii="Times New Roman" w:eastAsia="Calibri" w:hAnsi="Times New Roman" w:cs="Times New Roman"/>
          <w:color w:val="000000" w:themeColor="text1"/>
          <w:sz w:val="24"/>
          <w:szCs w:val="24"/>
          <w:lang w:val="sq-AL"/>
        </w:rPr>
        <w:t>nëse vlera e tregut e përcaktuar sipas nënparagrafit (a) është më e ulët sesa çmimi që do të caktohej ndërmjet palëve të pavarura për një shitje në pikën e lëvrimit, çmimi në pikën e lëvrimit, përcaktohet duke zbatuar rregullat e transferimit të çmimit.</w:t>
      </w:r>
    </w:p>
    <w:p w14:paraId="378C512C"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1D12D456"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2)    Pavarësisht nga paragrafi 1), kur nafta furnizohet sipas një kontrate më të gjatë se një vit, administrata tatimore mund të lidhë </w:t>
      </w:r>
      <w:r w:rsidRPr="002E7011">
        <w:rPr>
          <w:rFonts w:ascii="Times New Roman" w:eastAsia="Calibri" w:hAnsi="Times New Roman" w:cs="Times New Roman"/>
          <w:sz w:val="24"/>
          <w:szCs w:val="24"/>
          <w:lang w:val="sq-AL"/>
        </w:rPr>
        <w:lastRenderedPageBreak/>
        <w:t>një marrëveshje çmimi në avancë sipas nenit 36/7 të Ligjit nr. 8438, datë 28.12.1998 "Për tatimin mbi të ardhurat", i ndryshuar</w:t>
      </w:r>
    </w:p>
    <w:p w14:paraId="7668A86D"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28125EDA" w14:textId="77777777" w:rsidR="00752448" w:rsidRPr="002E7011" w:rsidRDefault="00752448" w:rsidP="00752448">
      <w:pPr>
        <w:spacing w:after="0"/>
        <w:jc w:val="center"/>
        <w:rPr>
          <w:rFonts w:ascii="Times New Roman" w:eastAsia="Times New Roman" w:hAnsi="Times New Roman" w:cs="Times New Roman"/>
          <w:b/>
          <w:sz w:val="24"/>
          <w:szCs w:val="24"/>
          <w:lang w:val="sq-AL" w:eastAsia="x-none"/>
        </w:rPr>
      </w:pPr>
      <w:r w:rsidRPr="002E7011">
        <w:rPr>
          <w:rFonts w:ascii="Times New Roman" w:eastAsia="Times New Roman" w:hAnsi="Times New Roman" w:cs="Times New Roman"/>
          <w:b/>
          <w:sz w:val="24"/>
          <w:szCs w:val="24"/>
          <w:lang w:val="sq-AL" w:eastAsia="x-none"/>
        </w:rPr>
        <w:t>KAPITULLI III</w:t>
      </w:r>
    </w:p>
    <w:p w14:paraId="63CD9168" w14:textId="77777777" w:rsidR="00752448" w:rsidRPr="002E7011" w:rsidRDefault="00752448" w:rsidP="00752448">
      <w:pPr>
        <w:spacing w:after="0"/>
        <w:jc w:val="center"/>
        <w:rPr>
          <w:rFonts w:ascii="Times New Roman" w:eastAsia="Times New Roman" w:hAnsi="Times New Roman" w:cs="Times New Roman"/>
          <w:b/>
          <w:sz w:val="24"/>
          <w:szCs w:val="24"/>
          <w:lang w:val="sq-AL" w:eastAsia="x-none"/>
        </w:rPr>
      </w:pPr>
      <w:r w:rsidRPr="002E7011" w:rsidDel="00E4506A">
        <w:rPr>
          <w:rFonts w:ascii="Times New Roman" w:eastAsia="Times New Roman" w:hAnsi="Times New Roman" w:cs="Times New Roman"/>
          <w:b/>
          <w:sz w:val="24"/>
          <w:szCs w:val="24"/>
          <w:lang w:val="sq-AL" w:eastAsia="x-none"/>
        </w:rPr>
        <w:t>TAKSA MBI FITIM</w:t>
      </w:r>
      <w:r w:rsidRPr="002E7011">
        <w:rPr>
          <w:rFonts w:ascii="Times New Roman" w:eastAsia="Times New Roman" w:hAnsi="Times New Roman" w:cs="Times New Roman"/>
          <w:b/>
          <w:sz w:val="24"/>
          <w:szCs w:val="24"/>
          <w:lang w:val="sq-AL" w:eastAsia="x-none"/>
        </w:rPr>
        <w:t>TATIMI MBI FITIMIN PËR OPERACIONET HIDROKARBURE</w:t>
      </w:r>
    </w:p>
    <w:p w14:paraId="6050362B" w14:textId="77777777" w:rsidR="00752448" w:rsidRPr="002E7011" w:rsidRDefault="00752448" w:rsidP="00752448">
      <w:pPr>
        <w:spacing w:after="0"/>
        <w:jc w:val="center"/>
        <w:rPr>
          <w:rFonts w:ascii="Times New Roman" w:eastAsia="Times New Roman" w:hAnsi="Times New Roman" w:cs="Times New Roman"/>
          <w:b/>
          <w:sz w:val="24"/>
          <w:szCs w:val="24"/>
          <w:lang w:val="sq-AL" w:eastAsia="x-none"/>
        </w:rPr>
      </w:pPr>
    </w:p>
    <w:p w14:paraId="003B0556" w14:textId="77777777" w:rsidR="00752448" w:rsidRPr="002E7011" w:rsidRDefault="00752448" w:rsidP="00752448">
      <w:pPr>
        <w:spacing w:after="0"/>
        <w:jc w:val="center"/>
        <w:rPr>
          <w:rFonts w:ascii="Times New Roman" w:eastAsia="Times New Roman" w:hAnsi="Times New Roman" w:cs="Times New Roman"/>
          <w:b/>
          <w:sz w:val="24"/>
          <w:szCs w:val="24"/>
          <w:lang w:val="sq-AL" w:eastAsia="x-none"/>
        </w:rPr>
      </w:pPr>
      <w:r w:rsidRPr="002E7011">
        <w:rPr>
          <w:rFonts w:ascii="Times New Roman" w:eastAsia="Times New Roman" w:hAnsi="Times New Roman" w:cs="Times New Roman"/>
          <w:b/>
          <w:sz w:val="24"/>
          <w:szCs w:val="24"/>
          <w:lang w:val="sq-AL" w:eastAsia="x-none"/>
        </w:rPr>
        <w:t>Neni 7</w:t>
      </w:r>
    </w:p>
    <w:p w14:paraId="7348756D" w14:textId="77777777" w:rsidR="00752448" w:rsidRPr="002E7011" w:rsidRDefault="00752448" w:rsidP="00752448">
      <w:pPr>
        <w:spacing w:after="0"/>
        <w:jc w:val="center"/>
        <w:rPr>
          <w:rFonts w:ascii="Times New Roman" w:eastAsia="Times New Roman" w:hAnsi="Times New Roman" w:cs="Times New Roman"/>
          <w:b/>
          <w:sz w:val="24"/>
          <w:szCs w:val="24"/>
          <w:lang w:val="sq-AL" w:eastAsia="x-none"/>
        </w:rPr>
      </w:pPr>
      <w:r w:rsidRPr="002E7011">
        <w:rPr>
          <w:rFonts w:ascii="Times New Roman" w:eastAsia="Times New Roman" w:hAnsi="Times New Roman" w:cs="Times New Roman"/>
          <w:b/>
          <w:sz w:val="24"/>
          <w:szCs w:val="24"/>
          <w:lang w:val="sq-AL" w:eastAsia="x-none"/>
        </w:rPr>
        <w:t>Aplikimi i tatimit mbi fitimin</w:t>
      </w:r>
    </w:p>
    <w:p w14:paraId="3DCDD7DA" w14:textId="77777777" w:rsidR="00752448" w:rsidRPr="002E7011" w:rsidRDefault="00752448" w:rsidP="00752448">
      <w:pPr>
        <w:spacing w:after="0"/>
        <w:jc w:val="center"/>
        <w:rPr>
          <w:rFonts w:ascii="Times New Roman" w:eastAsia="Calibri" w:hAnsi="Times New Roman" w:cs="Times New Roman"/>
          <w:sz w:val="24"/>
          <w:szCs w:val="24"/>
          <w:lang w:val="sq-AL"/>
        </w:rPr>
      </w:pPr>
    </w:p>
    <w:p w14:paraId="1CDE94CC"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       Një person që kryen operacione hidrokarbure</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i nënshtrohet tatimit</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mbi fitimin të përcaktuar me ligjin nr. 8438, datë 28.12.1998 "Për tatimin mbi të ardhurat", i ndryshuar.</w:t>
      </w:r>
    </w:p>
    <w:p w14:paraId="21FF1E58"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33BCD57"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Fitimet e tatueshme të një personi nga operacionet hidrokarbure llogariten dhe tatohen sipas këtij Ligji.</w:t>
      </w:r>
    </w:p>
    <w:p w14:paraId="3841655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FDA63B2"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3)      Fitimet e tatueshme të një personi nga operacionet jo hidrokarbure llogariten dhe tatohen sipas Ligjit "Për tatimin mbi të ardhurat".</w:t>
      </w:r>
    </w:p>
    <w:p w14:paraId="382F855F"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21C61F6" w14:textId="15AE2422"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4)     Të ardhurat dhe shpenzimet që rrjedhin dhe shkaktohen nga kryerja e aktivitetit</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duhet të ndahen midis operacioneve</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hidrokarbure dhe jo hidrokarbure, në mënyrë  të tillë që të mos ketë</w:t>
      </w:r>
      <w:r>
        <w:rPr>
          <w:rFonts w:ascii="Times New Roman" w:eastAsia="Calibri" w:hAnsi="Times New Roman" w:cs="Times New Roman"/>
          <w:sz w:val="24"/>
          <w:szCs w:val="24"/>
          <w:lang w:val="sq-AL"/>
        </w:rPr>
        <w:t xml:space="preserve"> mbivendosj</w:t>
      </w:r>
      <w:r w:rsidR="00A7433F">
        <w:rPr>
          <w:rFonts w:ascii="Times New Roman" w:eastAsia="Calibri" w:hAnsi="Times New Roman" w:cs="Times New Roman"/>
          <w:sz w:val="24"/>
          <w:szCs w:val="24"/>
          <w:lang w:val="sq-AL"/>
        </w:rPr>
        <w:t>e</w:t>
      </w:r>
      <w:r w:rsidRPr="002E7011">
        <w:rPr>
          <w:rFonts w:ascii="Times New Roman" w:eastAsia="Calibri" w:hAnsi="Times New Roman" w:cs="Times New Roman"/>
          <w:sz w:val="24"/>
          <w:szCs w:val="24"/>
          <w:lang w:val="sq-AL"/>
        </w:rPr>
        <w:t>.</w:t>
      </w:r>
    </w:p>
    <w:p w14:paraId="65E6C2A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0C75C69" w14:textId="38B20415"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5)     Tatimi mbi fitimin nga</w:t>
      </w:r>
      <w:r w:rsidR="0050592C">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operacionet hidrokarbure për një periudhë tatimore të caktuar llogaritet duke aplikuar shkallën tatimore 50 për qind të fitimit të tatueshëm nga operacionet hidrokarbure për këtë periudhë.</w:t>
      </w:r>
    </w:p>
    <w:p w14:paraId="5B3101C2"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21D529C"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 Fitimet e tatueshme nga operacionet hidrokarbure</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për një periudhë tatimore të caktuar</w:t>
      </w:r>
      <w:r>
        <w:rPr>
          <w:rFonts w:ascii="Times New Roman" w:eastAsia="Calibri" w:hAnsi="Times New Roman" w:cs="Times New Roman"/>
          <w:sz w:val="24"/>
          <w:szCs w:val="24"/>
          <w:lang w:val="sq-AL"/>
        </w:rPr>
        <w:t xml:space="preserve"> llogariten</w:t>
      </w:r>
      <w:r w:rsidRPr="002E7011">
        <w:rPr>
          <w:rFonts w:ascii="Times New Roman" w:eastAsia="Calibri" w:hAnsi="Times New Roman" w:cs="Times New Roman"/>
          <w:sz w:val="24"/>
          <w:szCs w:val="24"/>
          <w:lang w:val="sq-AL"/>
        </w:rPr>
        <w:t xml:space="preserve"> si shumë totale e fitimeve të tatueshme nga secili prej operacioneve </w:t>
      </w:r>
      <w:r w:rsidRPr="003E74E0">
        <w:rPr>
          <w:rFonts w:ascii="Times New Roman" w:eastAsia="Calibri" w:hAnsi="Times New Roman" w:cs="Times New Roman"/>
          <w:sz w:val="24"/>
          <w:szCs w:val="24"/>
          <w:lang w:val="sq-AL"/>
        </w:rPr>
        <w:t>të veçanta</w:t>
      </w:r>
      <w:r w:rsidRPr="002E7011">
        <w:rPr>
          <w:rFonts w:ascii="Times New Roman" w:eastAsia="Calibri" w:hAnsi="Times New Roman" w:cs="Times New Roman"/>
          <w:sz w:val="24"/>
          <w:szCs w:val="24"/>
          <w:lang w:val="sq-AL"/>
        </w:rPr>
        <w:t xml:space="preserve"> hidrokarbure për këtë periudhë, duke përjashtuar humbjet.</w:t>
      </w:r>
    </w:p>
    <w:p w14:paraId="39F6EA1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07E34EA"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7)     Për qëllime të llogaritjes së fitimeve të tatueshme nga operacionet hidrokarbure:-</w:t>
      </w:r>
    </w:p>
    <w:p w14:paraId="14C0E255"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6B78AE1"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 xml:space="preserve">çdo operacion i veçantë </w:t>
      </w:r>
      <w:r>
        <w:rPr>
          <w:rFonts w:ascii="Times New Roman" w:eastAsia="Calibri" w:hAnsi="Times New Roman" w:cs="Times New Roman"/>
          <w:sz w:val="24"/>
          <w:szCs w:val="24"/>
          <w:lang w:val="sq-AL"/>
        </w:rPr>
        <w:t xml:space="preserve"> hidrokarbur </w:t>
      </w:r>
      <w:r w:rsidRPr="002E7011">
        <w:rPr>
          <w:rFonts w:ascii="Times New Roman" w:eastAsia="Calibri" w:hAnsi="Times New Roman" w:cs="Times New Roman"/>
          <w:sz w:val="24"/>
          <w:szCs w:val="24"/>
          <w:lang w:val="sq-AL"/>
        </w:rPr>
        <w:t>trajtohet si një biznes i pavarur dhe personi duhet të mbajë të dhënat financiare për këtë biznes të ndarë nga çdo aktivitet tjetër ekonomik i tij.</w:t>
      </w:r>
    </w:p>
    <w:p w14:paraId="0A57B5D4"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1E7428E"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t>personi duhet të llogarisë fitimin e tatueshëm, humbjen dhe detyrimin e tatimit mbi fitimin për biznesin në mënyrë të pavarur për çdo</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periudhë tatimore.</w:t>
      </w:r>
    </w:p>
    <w:p w14:paraId="7FF138CB"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41CC392"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8)      Për të shmangur dyshimet, transferimi i një aseti në ose nga një operacion i veçantë</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hidrokarbur trajtohet si blerje dhe shitje e asetit.</w:t>
      </w:r>
    </w:p>
    <w:p w14:paraId="3E87B3BF"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77077BF4"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9)      Kur dy ose më shumë persona bashkërisht janë mbajtës të një të drejte hidrokarbure, ata duhet të llogarisin secili fitimet e tyre të tatueshme nga operacionet hidrokarbure  që lidhen me këtë të drejtë, por duhet të veprojnë sikur të ishin palë të lidhura.</w:t>
      </w:r>
    </w:p>
    <w:p w14:paraId="752B2A1C"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3FB78B9"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10)    Rregullat e transferimit të çmimit aplikohen për transaksionet e mëposhtme sikur të jenë transaksione të kontrolluara ndërmjet palëve të lidhura:</w:t>
      </w:r>
    </w:p>
    <w:p w14:paraId="3153111F"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AC4A9C7"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      rregullimet ndërmjet një operacioni të veçantë hidrokarbur dhe veprimtarive të tjera të personit që kryen operacionin hidrokarbur (duke përfshirë operacionet e tjera të veçanta hidrokarbure ose operacionet jo hidrokarbure, të tilla si rafinimi</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apo procese të tjera) dhe</w:t>
      </w:r>
    </w:p>
    <w:p w14:paraId="45B2172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C2E0CAD"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   marrëdhëniet ndërmjet dy ose më shumë personave që janë mbajtës të së drejtës hidrokarbure.</w:t>
      </w:r>
    </w:p>
    <w:p w14:paraId="6DA931D2"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EE9317D"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8</w:t>
      </w:r>
    </w:p>
    <w:p w14:paraId="231C46FA"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Operacionet e veçanta hidrokarbure</w:t>
      </w:r>
    </w:p>
    <w:p w14:paraId="0EDBB20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D4860ED"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     në bazë të këtij neni, operacionet hidrokarbure</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që i përkasin çdo të drejte hidrokarbure përbëjnë një operacion të veçantë hidrokarbur.</w:t>
      </w:r>
    </w:p>
    <w:p w14:paraId="7CBB1D0A"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1560AA2" w14:textId="3C22B889"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Kur zona e zhvillimit është mir</w:t>
      </w:r>
      <w:r w:rsidR="0050592C">
        <w:rPr>
          <w:rFonts w:ascii="Times New Roman" w:eastAsia="Calibri" w:hAnsi="Times New Roman" w:cs="Times New Roman"/>
          <w:sz w:val="24"/>
          <w:szCs w:val="24"/>
          <w:lang w:val="sq-AL"/>
        </w:rPr>
        <w:t>atuar brenda zonës së kontratës</w:t>
      </w:r>
      <w:r w:rsidRPr="002E7011">
        <w:rPr>
          <w:rFonts w:ascii="Times New Roman" w:eastAsia="Calibri" w:hAnsi="Times New Roman" w:cs="Times New Roman"/>
          <w:sz w:val="24"/>
          <w:szCs w:val="24"/>
          <w:lang w:val="sq-AL"/>
        </w:rPr>
        <w:t>:</w:t>
      </w:r>
    </w:p>
    <w:p w14:paraId="4CE2C862"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32E4825"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b/>
        <w:t>operacionet hidrokarbure të kryera në zonën e kontratës deri në datën e miratimit dhe operacionet hidrokarbure të kryera në zonën e zhvillimit pas kësaj date trajtohen si të kryera në lidhje me të njëjtin operacion të veçantë hidrokarbur dhe</w:t>
      </w:r>
    </w:p>
    <w:p w14:paraId="1192868A"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D402078"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t>nga data e miratimit, operacionet hidrokarbure të kryera në zonën e kontratës por jashtë zonës së zhvillimit trajtohen si një operacion i ri i veçantë hidrokarbur.</w:t>
      </w:r>
    </w:p>
    <w:p w14:paraId="602A683E"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5EE0BC2"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3) </w:t>
      </w:r>
      <w:r w:rsidRPr="002E7011">
        <w:rPr>
          <w:rFonts w:ascii="Times New Roman" w:eastAsia="Calibri" w:hAnsi="Times New Roman" w:cs="Times New Roman"/>
          <w:sz w:val="24"/>
          <w:szCs w:val="24"/>
          <w:lang w:val="sq-AL"/>
        </w:rPr>
        <w:tab/>
        <w:t>Paragrafi 4) zbatohet kur-</w:t>
      </w:r>
    </w:p>
    <w:p w14:paraId="2845E745"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CC61B15"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një zonë zhvillimi është miratuar brenda një zone të kontratës dhe</w:t>
      </w:r>
    </w:p>
    <w:p w14:paraId="7709C65F"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D0C313B"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t>më pas mbajtësi i të drejtës hidrokarbure heq dorë nga e gjithë zona e kontratës që nuk është zonë zhvillimi.</w:t>
      </w:r>
    </w:p>
    <w:p w14:paraId="67C9950C"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B67EDC9"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4)      Operacionet hidrokarbure të kryera në lidhje me zonën nga e cila është hequr dorë nga data e miratimit të zonës së fundit të zhvillimit, i atribuohen zonës së fundit të zhvillimit dhe operacionet e tilla trajtohen si të kryera në lidhje me të njëjtin operacion të veçantë hidrokarbur si të kryera në zonën e fundit të zhvillimit.</w:t>
      </w:r>
    </w:p>
    <w:p w14:paraId="1D1A1E99"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5)      Ministri përgjegjës për financat, në bashkëpunim me ministrin përgjegjës për çështjet  hidrokarbure, mund të nxjerrë udhëzime për-</w:t>
      </w:r>
    </w:p>
    <w:p w14:paraId="0E14A09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8625005"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      dispozita të mëtejshme për përcaktimin e operacioneve të veçanta hidrokarbure dhe</w:t>
      </w:r>
    </w:p>
    <w:p w14:paraId="7EA4B75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01B6C0A"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     dispozita për trajtimin e të drejtave të ngjashme hidrokarbure dhe bashkimin e të drejtave hidrokarbure.</w:t>
      </w:r>
    </w:p>
    <w:p w14:paraId="070C7BDA"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4F800DD" w14:textId="77777777" w:rsidR="00752448" w:rsidRPr="002E7011" w:rsidRDefault="00752448" w:rsidP="00752448">
      <w:pPr>
        <w:spacing w:after="0"/>
        <w:jc w:val="both"/>
        <w:rPr>
          <w:rFonts w:ascii="Times New Roman" w:eastAsia="Calibri" w:hAnsi="Times New Roman" w:cs="Times New Roman"/>
          <w:b/>
          <w:sz w:val="24"/>
          <w:szCs w:val="24"/>
          <w:lang w:val="sq-AL"/>
        </w:rPr>
      </w:pPr>
    </w:p>
    <w:p w14:paraId="3945C746"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9</w:t>
      </w:r>
    </w:p>
    <w:p w14:paraId="44FA899E"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Fitimet e tatueshme dhe humbjet e lejuara</w:t>
      </w:r>
    </w:p>
    <w:p w14:paraId="5A7E4D49"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A67D006"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      Fitimi</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i tatueshëm i një personi nga një operacion i veçantë hidrokarbur për një periudhë tatimore</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llogaritet duke zbritur nga të ardhurat e kësaj periudhe nga ky operacion, shumat e mëposhtme:</w:t>
      </w:r>
    </w:p>
    <w:p w14:paraId="3BA43C3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26A7C3A2"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     shpenzimet e zbritshme të këtij operacioni për këtë periudhë dhe</w:t>
      </w:r>
    </w:p>
    <w:p w14:paraId="0D08DEAB"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2852FE2B"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     humbjet e lejuara nga operacioni  të mbartura nga periudhat e mëparshme.</w:t>
      </w:r>
    </w:p>
    <w:p w14:paraId="12ED8C5E"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E2EB655"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Me kusht që zbritja të mos kalojë 85 përqind të të ardhurave nga ky operacion për këtë periudhë</w:t>
      </w:r>
      <w:r>
        <w:rPr>
          <w:rFonts w:ascii="Times New Roman" w:eastAsia="Calibri" w:hAnsi="Times New Roman" w:cs="Times New Roman"/>
          <w:sz w:val="24"/>
          <w:szCs w:val="24"/>
          <w:lang w:val="sq-AL"/>
        </w:rPr>
        <w:t>.</w:t>
      </w:r>
      <w:r w:rsidRPr="002E7011">
        <w:rPr>
          <w:rFonts w:ascii="Times New Roman" w:eastAsia="Calibri" w:hAnsi="Times New Roman" w:cs="Times New Roman"/>
          <w:sz w:val="24"/>
          <w:szCs w:val="24"/>
          <w:lang w:val="sq-AL"/>
        </w:rPr>
        <w:t xml:space="preserve"> </w:t>
      </w:r>
    </w:p>
    <w:p w14:paraId="2115BFF6"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A71F51E"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Në aplikimin e kufizimit për zbritjen sipas paragrafit 1), shumat sipas paragrafit 1)(a) kanë përparësi në zvogëlimin e fitimit të tatueshëm ndaj shumave sipas paragrafit 1) (b).</w:t>
      </w:r>
    </w:p>
    <w:p w14:paraId="60D554F1"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7328819B"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3)    Një humbje e lejuar nga një operacion i veçantë hidrokarbur për një periudhë tatimore të caktuar është masa në të cilën shpenzimet e zbritshme të operacionit për periudhën tejkalojnë 85 për qind të të ardhurave nga ky operacion për këtë periudhë.</w:t>
      </w:r>
    </w:p>
    <w:p w14:paraId="74011243"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8269763"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4)    Humbjet e lejuara mund të mbarten për një periudhë të pacaktuar derisa të përdoren për të zvogëluar fitimet e tatueshme sipas paragrafit 1) (b).</w:t>
      </w:r>
    </w:p>
    <w:p w14:paraId="2B8AA554"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0F564BB"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5)   Një humbje bëhet e palejuar deri në masën që përdoret për të zvogëluar fitimet e tatueshme.</w:t>
      </w:r>
    </w:p>
    <w:p w14:paraId="61260BE9"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BA3C968"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6)   Humbjet e lejuara nga një operacion i veçantë hidrokarbur nuk mund të zvogëlojnë fitimet e tatueshme nga ndonjë operacion tjetër hidrokarbur apo fitimet e tatueshme nga operacione jo  hidrokarbure.</w:t>
      </w:r>
    </w:p>
    <w:p w14:paraId="25725EF8"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2FB20ECF"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7)   Humbjet nga operacione jo hidrokarbure nuk mund të zvogëlojnë fitimet e tatueshme nga operacionet  hidrokarbure.</w:t>
      </w:r>
    </w:p>
    <w:p w14:paraId="5CEEF650" w14:textId="77777777" w:rsidR="00752448" w:rsidRDefault="00752448" w:rsidP="00752448">
      <w:pPr>
        <w:spacing w:after="0"/>
        <w:jc w:val="both"/>
        <w:rPr>
          <w:rFonts w:ascii="Times New Roman" w:eastAsia="Calibri" w:hAnsi="Times New Roman" w:cs="Times New Roman"/>
          <w:b/>
          <w:sz w:val="24"/>
          <w:szCs w:val="24"/>
          <w:lang w:val="sq-AL"/>
        </w:rPr>
      </w:pPr>
    </w:p>
    <w:p w14:paraId="566C301B"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10</w:t>
      </w:r>
    </w:p>
    <w:p w14:paraId="0F7E5BDF"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Të ardhurat</w:t>
      </w:r>
    </w:p>
    <w:p w14:paraId="7D97283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2AEFAF23"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     Të ardhurat e një p</w:t>
      </w:r>
      <w:r>
        <w:rPr>
          <w:rFonts w:ascii="Times New Roman" w:eastAsia="Calibri" w:hAnsi="Times New Roman" w:cs="Times New Roman"/>
          <w:sz w:val="24"/>
          <w:szCs w:val="24"/>
          <w:lang w:val="sq-AL"/>
        </w:rPr>
        <w:t>er</w:t>
      </w:r>
      <w:r w:rsidRPr="002E7011">
        <w:rPr>
          <w:rFonts w:ascii="Times New Roman" w:eastAsia="Calibri" w:hAnsi="Times New Roman" w:cs="Times New Roman"/>
          <w:sz w:val="24"/>
          <w:szCs w:val="24"/>
          <w:lang w:val="sq-AL"/>
        </w:rPr>
        <w:t>son</w:t>
      </w:r>
      <w:r>
        <w:rPr>
          <w:rFonts w:ascii="Times New Roman" w:eastAsia="Calibri" w:hAnsi="Times New Roman" w:cs="Times New Roman"/>
          <w:sz w:val="24"/>
          <w:szCs w:val="24"/>
          <w:lang w:val="sq-AL"/>
        </w:rPr>
        <w:t xml:space="preserve">i nga një operacion i veçantë </w:t>
      </w:r>
      <w:r w:rsidRPr="002E7011">
        <w:rPr>
          <w:rFonts w:ascii="Times New Roman" w:eastAsia="Calibri" w:hAnsi="Times New Roman" w:cs="Times New Roman"/>
          <w:sz w:val="24"/>
          <w:szCs w:val="24"/>
          <w:lang w:val="sq-AL"/>
        </w:rPr>
        <w:t>hidrokarbur për një periudhë  tatimore, janë totali i shumave bruto të mëposhtme:</w:t>
      </w:r>
    </w:p>
    <w:p w14:paraId="481E98AC"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58D3D8D9"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       vlera e tregut e naftës së nxjerrë gjatë periudhës nga operacioni siç referohet në nenin 5 dhe e vlerësuar sipas nenit 6 të këtij ligji;</w:t>
      </w:r>
    </w:p>
    <w:p w14:paraId="5232D8EB"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03B89248"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t xml:space="preserve">shumat bruto që rrjedhin gjatë periudhës nga </w:t>
      </w:r>
      <w:r>
        <w:rPr>
          <w:rFonts w:ascii="Times New Roman" w:eastAsia="Calibri" w:hAnsi="Times New Roman" w:cs="Times New Roman"/>
          <w:sz w:val="24"/>
          <w:szCs w:val="24"/>
          <w:lang w:val="sq-AL"/>
        </w:rPr>
        <w:t>transferimi</w:t>
      </w:r>
      <w:r w:rsidRPr="002E7011">
        <w:rPr>
          <w:rFonts w:ascii="Times New Roman" w:eastAsia="Calibri" w:hAnsi="Times New Roman" w:cs="Times New Roman"/>
          <w:sz w:val="24"/>
          <w:szCs w:val="24"/>
          <w:lang w:val="sq-AL"/>
        </w:rPr>
        <w:t xml:space="preserve"> ose përdorimi i aseteve të tjera të operacionit, pamvarësisht nëse asetet janë të natyrës qarkulluese ose fikse;</w:t>
      </w:r>
    </w:p>
    <w:p w14:paraId="5AD07EA4"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0B97330C"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c) </w:t>
      </w:r>
      <w:r w:rsidRPr="002E7011">
        <w:rPr>
          <w:rFonts w:ascii="Times New Roman" w:eastAsia="Calibri" w:hAnsi="Times New Roman" w:cs="Times New Roman"/>
          <w:sz w:val="24"/>
          <w:szCs w:val="24"/>
          <w:lang w:val="sq-AL"/>
        </w:rPr>
        <w:tab/>
        <w:t>tarifat ose shumat e tjera që rrjedhin gjatë periudhës nga shërbimet, informacioni ose lehtësira të tjera të parashikuara gjatë kryerjes së operacionit;</w:t>
      </w:r>
    </w:p>
    <w:p w14:paraId="428E0231"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5CF6D96E"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d) </w:t>
      </w:r>
      <w:r w:rsidRPr="002E7011">
        <w:rPr>
          <w:rFonts w:ascii="Times New Roman" w:eastAsia="Calibri" w:hAnsi="Times New Roman" w:cs="Times New Roman"/>
          <w:sz w:val="24"/>
          <w:szCs w:val="24"/>
          <w:lang w:val="sq-AL"/>
        </w:rPr>
        <w:tab/>
        <w:t>kompensimi dhe të ardhurat nga sigurimet që rrjedhin gjatë periudhës në lidhje me operacionin; dhe</w:t>
      </w:r>
    </w:p>
    <w:p w14:paraId="050043AE"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6312135"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e) </w:t>
      </w:r>
      <w:r w:rsidRPr="002E7011">
        <w:rPr>
          <w:rFonts w:ascii="Times New Roman" w:eastAsia="Calibri" w:hAnsi="Times New Roman" w:cs="Times New Roman"/>
          <w:sz w:val="24"/>
          <w:szCs w:val="24"/>
          <w:lang w:val="sq-AL"/>
        </w:rPr>
        <w:tab/>
        <w:t>në lidhje me një tepricë në një fond rehabilitimi, të çdo shume të parashikuar në nenin 16 të këtij Ligji.</w:t>
      </w:r>
    </w:p>
    <w:p w14:paraId="55D3D488"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3A8D3D00"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2) </w:t>
      </w:r>
      <w:r w:rsidRPr="002E7011">
        <w:rPr>
          <w:rFonts w:ascii="Times New Roman" w:eastAsia="Calibri" w:hAnsi="Times New Roman" w:cs="Times New Roman"/>
          <w:sz w:val="24"/>
          <w:szCs w:val="24"/>
          <w:lang w:val="sq-AL"/>
        </w:rPr>
        <w:tab/>
        <w:t>Përjashtohen nga të ardhurat e një operacioni të veçantë të naftës:</w:t>
      </w:r>
    </w:p>
    <w:p w14:paraId="5769E970"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152D4F9F"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interesi dhe fitimet e tjera financiare, përfshirë shumën që trajtohet si e ardhur nga interesi; dhe</w:t>
      </w:r>
    </w:p>
    <w:p w14:paraId="065449C0"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6A9E0D0F"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pagesa për transferimin e të drejtës së naftës.</w:t>
      </w:r>
    </w:p>
    <w:p w14:paraId="4C67EF23"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A4DE0C4"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11</w:t>
      </w:r>
    </w:p>
    <w:p w14:paraId="28B48AE2"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Shpenzimet e zbritshme</w:t>
      </w:r>
    </w:p>
    <w:p w14:paraId="3140C51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CD6A82D"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    Shpenzimet e përcaktuara  në paragrafin 2) janë shpenzime të zbritshme të një operacioni të veçantë hidrokarbur  për një periudhë tatimore, me kusht që :</w:t>
      </w:r>
    </w:p>
    <w:p w14:paraId="71FE9A7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F79ACF0"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 xml:space="preserve"> shpenzimi është kryer nga personi gjatë periudhës në mënyrë  të drejtpërdrejtë në kryerjen e operacionit;</w:t>
      </w:r>
    </w:p>
    <w:p w14:paraId="09EC5306"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A39CCDE"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ab/>
        <w:t>shpenzimi i kryer  është në përputhj</w:t>
      </w:r>
      <w:r>
        <w:rPr>
          <w:rFonts w:ascii="Times New Roman" w:eastAsia="Calibri" w:hAnsi="Times New Roman" w:cs="Times New Roman"/>
          <w:sz w:val="24"/>
          <w:szCs w:val="24"/>
          <w:lang w:val="sq-AL"/>
        </w:rPr>
        <w:t>e  me marrëveshjen hidrokarbure</w:t>
      </w:r>
      <w:r w:rsidRPr="002E7011">
        <w:rPr>
          <w:rFonts w:ascii="Times New Roman" w:eastAsia="Calibri" w:hAnsi="Times New Roman" w:cs="Times New Roman"/>
          <w:sz w:val="24"/>
          <w:szCs w:val="24"/>
          <w:lang w:val="sq-AL"/>
        </w:rPr>
        <w:t xml:space="preserve">, si dhe </w:t>
      </w:r>
      <w:r w:rsidRPr="002E7011">
        <w:rPr>
          <w:rFonts w:ascii="Times New Roman" w:eastAsia="Calibri" w:hAnsi="Times New Roman" w:cs="Times New Roman"/>
          <w:sz w:val="24"/>
          <w:szCs w:val="24"/>
        </w:rPr>
        <w:t>standardet dhe praktikat më të mira ndërkombëtare në industrinë e hidrokarbureve</w:t>
      </w:r>
      <w:r w:rsidRPr="002E7011">
        <w:rPr>
          <w:rFonts w:ascii="Times New Roman" w:eastAsia="Calibri" w:hAnsi="Times New Roman" w:cs="Times New Roman"/>
          <w:sz w:val="24"/>
          <w:szCs w:val="24"/>
          <w:lang w:val="sq-AL"/>
        </w:rPr>
        <w:t>, siç përcaktohet në nenin 2 të ligjit nr.7746, datë 28.07.1993 "Për hidrokarburet (kërkimi  dhe prodhimi)", i ndryshuar; dhe</w:t>
      </w:r>
    </w:p>
    <w:p w14:paraId="267549A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7C9644F4"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c) </w:t>
      </w:r>
      <w:r w:rsidRPr="002E7011">
        <w:rPr>
          <w:rFonts w:ascii="Times New Roman" w:eastAsia="Calibri" w:hAnsi="Times New Roman" w:cs="Times New Roman"/>
          <w:sz w:val="24"/>
          <w:szCs w:val="24"/>
          <w:lang w:val="sq-AL"/>
        </w:rPr>
        <w:tab/>
        <w:t>zbritja nuk është kufizuar  nga neni 12 i këtij ligji.</w:t>
      </w:r>
    </w:p>
    <w:p w14:paraId="2BE04FEF"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7675113"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w:t>
      </w:r>
      <w:r w:rsidRPr="002E7011">
        <w:rPr>
          <w:rFonts w:ascii="Times New Roman" w:eastAsia="Calibri" w:hAnsi="Times New Roman" w:cs="Times New Roman"/>
          <w:sz w:val="24"/>
          <w:szCs w:val="24"/>
          <w:lang w:val="sq-AL"/>
        </w:rPr>
        <w:tab/>
        <w:t xml:space="preserve"> Shpenzimet janë:</w:t>
      </w:r>
    </w:p>
    <w:p w14:paraId="319E2A28"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BC41BB9"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w:t>
      </w:r>
      <w:r w:rsidRPr="002E7011">
        <w:rPr>
          <w:rFonts w:ascii="Times New Roman" w:eastAsia="Calibri" w:hAnsi="Times New Roman" w:cs="Times New Roman"/>
          <w:sz w:val="24"/>
          <w:szCs w:val="24"/>
          <w:lang w:val="sq-AL"/>
        </w:rPr>
        <w:tab/>
        <w:t>pagesat për qeverinë, duke përfshirë tarifat dhe taksat;</w:t>
      </w:r>
    </w:p>
    <w:p w14:paraId="4D683DDB"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319D67F"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t>kostot e punës dhe të ato të lidhura me punën, përfshirë koston e përfitimeve të punonjësve, përfitimet shtetërore për punonjësit, koston e zhvendosjes së punonjësve trajtimin mjekësor, sigurimin e jetës dhe rimbursimet;</w:t>
      </w:r>
    </w:p>
    <w:p w14:paraId="01469B1C"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CB933E7"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c) </w:t>
      </w:r>
      <w:r w:rsidRPr="002E7011">
        <w:rPr>
          <w:rFonts w:ascii="Times New Roman" w:eastAsia="Calibri" w:hAnsi="Times New Roman" w:cs="Times New Roman"/>
          <w:sz w:val="24"/>
          <w:szCs w:val="24"/>
          <w:lang w:val="sq-AL"/>
        </w:rPr>
        <w:tab/>
        <w:t>shpenzimet për blerjen e materialeve, pajisjeve dhe furnizimeve;</w:t>
      </w:r>
    </w:p>
    <w:p w14:paraId="3808D746"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63759CE"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d) </w:t>
      </w:r>
      <w:r w:rsidRPr="002E7011">
        <w:rPr>
          <w:rFonts w:ascii="Times New Roman" w:eastAsia="Calibri" w:hAnsi="Times New Roman" w:cs="Times New Roman"/>
          <w:sz w:val="24"/>
          <w:szCs w:val="24"/>
          <w:lang w:val="sq-AL"/>
        </w:rPr>
        <w:tab/>
        <w:t>kostot e transportit dhe kostot e lidhura me punonjësit, pajisjet, materialet dhe furnizimet;</w:t>
      </w:r>
    </w:p>
    <w:p w14:paraId="547D0D0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C6898AF"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e) </w:t>
      </w:r>
      <w:r w:rsidRPr="002E7011">
        <w:rPr>
          <w:rFonts w:ascii="Times New Roman" w:eastAsia="Calibri" w:hAnsi="Times New Roman" w:cs="Times New Roman"/>
          <w:sz w:val="24"/>
          <w:szCs w:val="24"/>
          <w:lang w:val="sq-AL"/>
        </w:rPr>
        <w:tab/>
        <w:t xml:space="preserve">kostot e shërbimeve dhe shërbimeve publike të nevojshme të ofruara  nga palët e treta, përfshirë kostot e analizave, përpunimin </w:t>
      </w:r>
      <w:r w:rsidRPr="002E7011">
        <w:rPr>
          <w:rFonts w:ascii="Times New Roman" w:eastAsia="Calibri" w:hAnsi="Times New Roman" w:cs="Times New Roman"/>
          <w:sz w:val="24"/>
          <w:szCs w:val="24"/>
          <w:lang w:val="sq-AL"/>
        </w:rPr>
        <w:lastRenderedPageBreak/>
        <w:t>e të dhënave, planifikimin, studimin, mbikëqyrjen dhe këshillimin në lidhje me gjeologjinë, inxhinierinë, kiminë, ndikimin në mjedis, kontabilitetin, auditimin, fushën ligjore, burimet njerëzore, financimin, kontraktimin dhe prokurimin;</w:t>
      </w:r>
    </w:p>
    <w:p w14:paraId="33B649B1"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7335D627"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f) </w:t>
      </w:r>
      <w:r w:rsidRPr="002E7011">
        <w:rPr>
          <w:rFonts w:ascii="Times New Roman" w:eastAsia="Calibri" w:hAnsi="Times New Roman" w:cs="Times New Roman"/>
          <w:sz w:val="24"/>
          <w:szCs w:val="24"/>
          <w:lang w:val="sq-AL"/>
        </w:rPr>
        <w:tab/>
        <w:t>shpenzimet administrative operative, por jo më shumë se 2.5 për qind të kostove të tjera për periudhën tatimore  në të cilën janë kryer  shpenzimet operative;</w:t>
      </w:r>
    </w:p>
    <w:p w14:paraId="7365819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82A5029"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g) </w:t>
      </w:r>
      <w:r w:rsidRPr="002E7011">
        <w:rPr>
          <w:rFonts w:ascii="Times New Roman" w:eastAsia="Calibri" w:hAnsi="Times New Roman" w:cs="Times New Roman"/>
          <w:sz w:val="24"/>
          <w:szCs w:val="24"/>
          <w:lang w:val="sq-AL"/>
        </w:rPr>
        <w:tab/>
        <w:t>kostot për sigurimin, zëvendësimin, riparimin ose magazinimin e materialeve, pajisjeve dhe furnizimeve;</w:t>
      </w:r>
    </w:p>
    <w:p w14:paraId="2A51EC91"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23ED4EF1"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h) </w:t>
      </w:r>
      <w:r w:rsidRPr="002E7011">
        <w:rPr>
          <w:rFonts w:ascii="Times New Roman" w:eastAsia="Calibri" w:hAnsi="Times New Roman" w:cs="Times New Roman"/>
          <w:sz w:val="24"/>
          <w:szCs w:val="24"/>
          <w:lang w:val="sq-AL"/>
        </w:rPr>
        <w:tab/>
        <w:t>shumat e depozituara dhe shpenzimet e tjera që janë</w:t>
      </w:r>
      <w:r>
        <w:rPr>
          <w:rFonts w:ascii="Times New Roman" w:eastAsia="Calibri" w:hAnsi="Times New Roman" w:cs="Times New Roman"/>
          <w:sz w:val="24"/>
          <w:szCs w:val="24"/>
          <w:lang w:val="sq-AL"/>
        </w:rPr>
        <w:t xml:space="preserve"> kryer në lidhje me një fond </w:t>
      </w:r>
      <w:r w:rsidRPr="002E7011">
        <w:rPr>
          <w:rFonts w:ascii="Times New Roman" w:eastAsia="Calibri" w:hAnsi="Times New Roman" w:cs="Times New Roman"/>
          <w:sz w:val="24"/>
          <w:szCs w:val="24"/>
          <w:lang w:val="sq-AL"/>
        </w:rPr>
        <w:t>rehabilitimi të miratuar të operacionit të veçantë hidrokarbur;</w:t>
      </w:r>
    </w:p>
    <w:p w14:paraId="61FA4C57"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A4F88CF"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i) </w:t>
      </w:r>
      <w:r w:rsidRPr="002E7011">
        <w:rPr>
          <w:rFonts w:ascii="Times New Roman" w:eastAsia="Calibri" w:hAnsi="Times New Roman" w:cs="Times New Roman"/>
          <w:sz w:val="24"/>
          <w:szCs w:val="24"/>
          <w:lang w:val="sq-AL"/>
        </w:rPr>
        <w:tab/>
        <w:t>kostot  e braktisjes, rehabilitimit dhe eliminimit të operacionit të veçantë hidrokarbur, por vetëm në masën që ndonjë fond rehabilitimi i miratuar është i pamjaftueshëm për mbulimin e kostove dhe</w:t>
      </w:r>
    </w:p>
    <w:p w14:paraId="384059EC"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7C67BB8"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j) </w:t>
      </w:r>
      <w:r w:rsidRPr="002E7011">
        <w:rPr>
          <w:rFonts w:ascii="Times New Roman" w:eastAsia="Calibri" w:hAnsi="Times New Roman" w:cs="Times New Roman"/>
          <w:sz w:val="24"/>
          <w:szCs w:val="24"/>
          <w:lang w:val="sq-AL"/>
        </w:rPr>
        <w:tab/>
        <w:t>shpenzime të tjera të nevojshme për kryerjen e operacionit të veçantë</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hidrokarbur.</w:t>
      </w:r>
    </w:p>
    <w:p w14:paraId="3484F22C"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B4B61E4"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 xml:space="preserve">3) </w:t>
      </w:r>
      <w:r w:rsidRPr="002E7011">
        <w:rPr>
          <w:rFonts w:ascii="Times New Roman" w:eastAsia="Calibri" w:hAnsi="Times New Roman" w:cs="Times New Roman"/>
          <w:sz w:val="24"/>
          <w:szCs w:val="24"/>
          <w:lang w:val="sq-AL"/>
        </w:rPr>
        <w:tab/>
        <w:t>Një shpenzim mund të kualifikohet si shpenzim i zbritshëm pavarësisht nëse është i një natyre operative ose kapitali.</w:t>
      </w:r>
    </w:p>
    <w:p w14:paraId="45F754D9"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C7EEDC3"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12</w:t>
      </w:r>
    </w:p>
    <w:p w14:paraId="6C741F03"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Shpenzimet e pazbritshme</w:t>
      </w:r>
    </w:p>
    <w:p w14:paraId="3DD6B9B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71A0670B"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Shpenzime të pazbritshme janë:</w:t>
      </w:r>
    </w:p>
    <w:p w14:paraId="319DF39A"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3973649" w14:textId="77777777" w:rsidR="00752448"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      amortizimi</w:t>
      </w:r>
      <w:r>
        <w:rPr>
          <w:rFonts w:ascii="Times New Roman" w:eastAsia="Calibri" w:hAnsi="Times New Roman" w:cs="Times New Roman"/>
          <w:sz w:val="24"/>
          <w:szCs w:val="24"/>
          <w:lang w:val="sq-AL"/>
        </w:rPr>
        <w:t>;</w:t>
      </w:r>
    </w:p>
    <w:p w14:paraId="2B0A521B"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5FCA981"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w:t>
      </w:r>
      <w:r w:rsidRPr="002E7011">
        <w:rPr>
          <w:rFonts w:ascii="Times New Roman" w:eastAsia="Calibri" w:hAnsi="Times New Roman" w:cs="Times New Roman"/>
          <w:sz w:val="24"/>
          <w:szCs w:val="24"/>
          <w:lang w:val="sq-AL"/>
        </w:rPr>
        <w:tab/>
        <w:t>interesi, kostot financiare dhe kostot e shkaktuara në lidhje me instrumentet financiare, përfshirë shumat  zëvendësuese për interesin ose të trajtuara si kosto financimi nga Standardet Ndërkombëtare të Raportimit Financiar;</w:t>
      </w:r>
    </w:p>
    <w:p w14:paraId="08FF8F96"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F34192D"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c)      </w:t>
      </w:r>
      <w:r>
        <w:rPr>
          <w:rFonts w:ascii="Times New Roman" w:eastAsia="Calibri" w:hAnsi="Times New Roman" w:cs="Times New Roman"/>
          <w:sz w:val="24"/>
          <w:szCs w:val="24"/>
        </w:rPr>
        <w:t>renta e aplikueshme</w:t>
      </w:r>
      <w:r w:rsidRPr="0052353C">
        <w:rPr>
          <w:rFonts w:ascii="Times New Roman" w:eastAsia="Calibri" w:hAnsi="Times New Roman" w:cs="Times New Roman"/>
          <w:sz w:val="24"/>
          <w:szCs w:val="24"/>
          <w:lang w:val="sq-AL"/>
        </w:rPr>
        <w:t>;</w:t>
      </w:r>
    </w:p>
    <w:p w14:paraId="1CB6A938"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268682F7"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d)      </w:t>
      </w:r>
      <w:r w:rsidRPr="002E7011">
        <w:rPr>
          <w:rFonts w:ascii="Times New Roman" w:eastAsia="Calibri" w:hAnsi="Times New Roman" w:cs="Times New Roman"/>
          <w:sz w:val="24"/>
          <w:szCs w:val="24"/>
          <w:lang w:val="sq-AL"/>
        </w:rPr>
        <w:tab/>
        <w:t xml:space="preserve">kostot  për marrjen, mbajtjen, përmirësimin, mbrojtjen ose </w:t>
      </w:r>
      <w:r>
        <w:rPr>
          <w:rFonts w:ascii="Times New Roman" w:eastAsia="Calibri" w:hAnsi="Times New Roman" w:cs="Times New Roman"/>
          <w:sz w:val="24"/>
          <w:szCs w:val="24"/>
          <w:lang w:val="sq-AL"/>
        </w:rPr>
        <w:t>transferimin</w:t>
      </w:r>
      <w:r w:rsidRPr="002E7011">
        <w:rPr>
          <w:rFonts w:ascii="Times New Roman" w:eastAsia="Calibri" w:hAnsi="Times New Roman" w:cs="Times New Roman"/>
          <w:sz w:val="24"/>
          <w:szCs w:val="24"/>
          <w:lang w:val="sq-AL"/>
        </w:rPr>
        <w:t xml:space="preserve"> e </w:t>
      </w:r>
      <w:r>
        <w:rPr>
          <w:rFonts w:ascii="Times New Roman" w:eastAsia="Calibri" w:hAnsi="Times New Roman" w:cs="Times New Roman"/>
          <w:sz w:val="24"/>
          <w:szCs w:val="24"/>
          <w:lang w:val="sq-AL"/>
        </w:rPr>
        <w:t>s</w:t>
      </w:r>
      <w:r w:rsidRPr="002E7011">
        <w:rPr>
          <w:rFonts w:ascii="Times New Roman" w:eastAsia="Calibri" w:hAnsi="Times New Roman" w:cs="Times New Roman"/>
          <w:sz w:val="24"/>
          <w:szCs w:val="24"/>
          <w:lang w:val="sq-AL"/>
        </w:rPr>
        <w:t>ë drejtës hidrokarbure, përfshirë çdo pagesë bonusi  të kryer në lidhje me të drejtën;</w:t>
      </w:r>
    </w:p>
    <w:p w14:paraId="115B0B5C"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CCF82CA"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e)  </w:t>
      </w:r>
      <w:r w:rsidRPr="002E7011">
        <w:rPr>
          <w:rFonts w:ascii="Times New Roman" w:eastAsia="Calibri" w:hAnsi="Times New Roman" w:cs="Times New Roman"/>
          <w:sz w:val="24"/>
          <w:szCs w:val="24"/>
          <w:lang w:val="sq-AL"/>
        </w:rPr>
        <w:tab/>
        <w:t>pa</w:t>
      </w:r>
      <w:r>
        <w:rPr>
          <w:rFonts w:ascii="Times New Roman" w:eastAsia="Calibri" w:hAnsi="Times New Roman" w:cs="Times New Roman"/>
          <w:sz w:val="24"/>
          <w:szCs w:val="24"/>
          <w:lang w:val="sq-AL"/>
        </w:rPr>
        <w:t>gesat për të marrë një interes në</w:t>
      </w:r>
      <w:r w:rsidRPr="002E7011">
        <w:rPr>
          <w:rFonts w:ascii="Times New Roman" w:eastAsia="Calibri" w:hAnsi="Times New Roman" w:cs="Times New Roman"/>
          <w:sz w:val="24"/>
          <w:szCs w:val="24"/>
          <w:lang w:val="sq-AL"/>
        </w:rPr>
        <w:t xml:space="preserve"> fitimet, </w:t>
      </w:r>
      <w:r>
        <w:rPr>
          <w:rFonts w:ascii="Times New Roman" w:eastAsia="Calibri" w:hAnsi="Times New Roman" w:cs="Times New Roman"/>
          <w:sz w:val="24"/>
          <w:szCs w:val="24"/>
          <w:lang w:val="sq-AL"/>
        </w:rPr>
        <w:t>faturat</w:t>
      </w:r>
      <w:r w:rsidRPr="002E7011">
        <w:rPr>
          <w:rFonts w:ascii="Times New Roman" w:eastAsia="Calibri" w:hAnsi="Times New Roman" w:cs="Times New Roman"/>
          <w:sz w:val="24"/>
          <w:szCs w:val="24"/>
          <w:lang w:val="sq-AL"/>
        </w:rPr>
        <w:t xml:space="preserve"> ose shpenzimet e operacioneve hidrokarbure ose jo hidrokar</w:t>
      </w:r>
      <w:r>
        <w:rPr>
          <w:rFonts w:ascii="Times New Roman" w:eastAsia="Calibri" w:hAnsi="Times New Roman" w:cs="Times New Roman"/>
          <w:sz w:val="24"/>
          <w:szCs w:val="24"/>
          <w:lang w:val="sq-AL"/>
        </w:rPr>
        <w:t>bure</w:t>
      </w:r>
      <w:r w:rsidRPr="002E7011">
        <w:rPr>
          <w:rFonts w:ascii="Times New Roman" w:eastAsia="Calibri" w:hAnsi="Times New Roman" w:cs="Times New Roman"/>
          <w:sz w:val="24"/>
          <w:szCs w:val="24"/>
          <w:lang w:val="sq-AL"/>
        </w:rPr>
        <w:t xml:space="preserve">, të personit që kryen pagesën ose </w:t>
      </w:r>
      <w:r>
        <w:rPr>
          <w:rFonts w:ascii="Times New Roman" w:eastAsia="Calibri" w:hAnsi="Times New Roman" w:cs="Times New Roman"/>
          <w:sz w:val="24"/>
          <w:szCs w:val="24"/>
          <w:lang w:val="sq-AL"/>
        </w:rPr>
        <w:t>të një personi tjetër</w:t>
      </w:r>
      <w:r w:rsidRPr="002E7011">
        <w:rPr>
          <w:rFonts w:ascii="Times New Roman" w:eastAsia="Calibri" w:hAnsi="Times New Roman" w:cs="Times New Roman"/>
          <w:sz w:val="24"/>
          <w:szCs w:val="24"/>
          <w:lang w:val="sq-AL"/>
        </w:rPr>
        <w:t>;</w:t>
      </w:r>
    </w:p>
    <w:p w14:paraId="6FD96C53"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31DB08E"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f)     shumat që tejkalojnë kufirin e parashikuar në nenin 13 (5) të këtij ligji</w:t>
      </w:r>
      <w:r>
        <w:rPr>
          <w:rFonts w:ascii="Times New Roman" w:eastAsia="Calibri" w:hAnsi="Times New Roman" w:cs="Times New Roman"/>
          <w:sz w:val="24"/>
          <w:szCs w:val="24"/>
          <w:lang w:val="sq-AL"/>
        </w:rPr>
        <w:t>;</w:t>
      </w:r>
      <w:r w:rsidRPr="002E7011">
        <w:rPr>
          <w:rFonts w:ascii="Times New Roman" w:eastAsia="Calibri" w:hAnsi="Times New Roman" w:cs="Times New Roman"/>
          <w:sz w:val="24"/>
          <w:szCs w:val="24"/>
          <w:lang w:val="sq-AL"/>
        </w:rPr>
        <w:t xml:space="preserve"> </w:t>
      </w:r>
    </w:p>
    <w:p w14:paraId="250AE991"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2EAF1913" w14:textId="77777777" w:rsidR="00752448" w:rsidRPr="002E7011" w:rsidRDefault="00752448" w:rsidP="00752448">
      <w:pPr>
        <w:spacing w:after="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g)      </w:t>
      </w:r>
      <w:r w:rsidRPr="002E7011">
        <w:rPr>
          <w:rFonts w:ascii="Times New Roman" w:eastAsia="Calibri" w:hAnsi="Times New Roman" w:cs="Times New Roman"/>
          <w:sz w:val="24"/>
          <w:szCs w:val="24"/>
          <w:lang w:val="sq-AL"/>
        </w:rPr>
        <w:t>tatimi mbi fitimin</w:t>
      </w:r>
      <w:r>
        <w:rPr>
          <w:rFonts w:ascii="Times New Roman" w:eastAsia="Calibri" w:hAnsi="Times New Roman" w:cs="Times New Roman"/>
          <w:sz w:val="24"/>
          <w:szCs w:val="24"/>
          <w:lang w:val="sq-AL"/>
        </w:rPr>
        <w:t>;</w:t>
      </w:r>
      <w:r w:rsidRPr="002E7011">
        <w:rPr>
          <w:rFonts w:ascii="Times New Roman" w:eastAsia="Calibri" w:hAnsi="Times New Roman" w:cs="Times New Roman"/>
          <w:sz w:val="24"/>
          <w:szCs w:val="24"/>
          <w:lang w:val="sq-AL"/>
        </w:rPr>
        <w:t xml:space="preserve"> dhe</w:t>
      </w:r>
    </w:p>
    <w:p w14:paraId="0E61BDA1"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6B48727"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h) </w:t>
      </w:r>
      <w:r w:rsidRPr="002E7011">
        <w:rPr>
          <w:rFonts w:ascii="Times New Roman" w:eastAsia="Calibri" w:hAnsi="Times New Roman" w:cs="Times New Roman"/>
          <w:sz w:val="24"/>
          <w:szCs w:val="24"/>
          <w:lang w:val="sq-AL"/>
        </w:rPr>
        <w:tab/>
        <w:t>shpenzimet  e përcaktuara  në nenin 21 të Ligjit nr. 8438, datë 28.12.1998 "Për tatimin mbi të ardhurat", i ndryshuar, por:</w:t>
      </w:r>
    </w:p>
    <w:p w14:paraId="66B1CFD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E7E46F0" w14:textId="77777777" w:rsidR="00752448" w:rsidRPr="002E7011" w:rsidRDefault="00752448" w:rsidP="00752448">
      <w:pPr>
        <w:spacing w:after="0"/>
        <w:ind w:firstLine="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i)   duke përjashtuar shpenzimet  sipas  nënparagrafëve b) dhe gj) të atij neni dhe</w:t>
      </w:r>
    </w:p>
    <w:p w14:paraId="5D74400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FC81F88" w14:textId="77777777" w:rsidR="00752448" w:rsidRPr="002E7011" w:rsidRDefault="00752448" w:rsidP="00752448">
      <w:pPr>
        <w:spacing w:after="0"/>
        <w:ind w:left="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ii)  duke mos lejuar   zbritjen për të gjitha shpenzimet e përcaktuara  në paragrafin h) të atij  neni.</w:t>
      </w:r>
    </w:p>
    <w:p w14:paraId="4B6E94F3"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C55015F"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13</w:t>
      </w:r>
    </w:p>
    <w:p w14:paraId="14228436"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Kontabiliteti</w:t>
      </w:r>
    </w:p>
    <w:p w14:paraId="0B36D846"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213A1F0"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     Përveç nëse parashikohet ndryshe në këtë ligj, shumat e përfshira ose të zbritura në llogaritjen e fitimeve të tatueshme të një operacioni të veçantë hidrokarbur duhet:</w:t>
      </w:r>
    </w:p>
    <w:p w14:paraId="563849FB"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87AFB33"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 xml:space="preserve">a)      </w:t>
      </w:r>
      <w:r w:rsidRPr="002E7011">
        <w:rPr>
          <w:rFonts w:ascii="Times New Roman" w:eastAsia="Calibri" w:hAnsi="Times New Roman" w:cs="Times New Roman"/>
          <w:sz w:val="24"/>
          <w:szCs w:val="24"/>
          <w:lang w:val="sq-AL"/>
        </w:rPr>
        <w:tab/>
        <w:t>të llogariten në  bazë të të drejtave të</w:t>
      </w:r>
      <w:r>
        <w:rPr>
          <w:rFonts w:ascii="Times New Roman" w:eastAsia="Calibri" w:hAnsi="Times New Roman" w:cs="Times New Roman"/>
          <w:sz w:val="24"/>
          <w:szCs w:val="24"/>
          <w:lang w:val="sq-AL"/>
        </w:rPr>
        <w:t xml:space="preserve"> konstatuara, </w:t>
      </w:r>
      <w:r w:rsidRPr="002E7011">
        <w:rPr>
          <w:rFonts w:ascii="Times New Roman" w:eastAsia="Calibri" w:hAnsi="Times New Roman" w:cs="Times New Roman"/>
          <w:sz w:val="24"/>
          <w:szCs w:val="24"/>
          <w:lang w:val="sq-AL"/>
        </w:rPr>
        <w:t>në përputhje me Standardet Ndërkombëtare të Raportimit Financiar; dhe</w:t>
      </w:r>
    </w:p>
    <w:p w14:paraId="3103A546"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73E84EC9"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      të përfshijnë rregullime dhe ndryshime për të mbuluar pasaktësitë.</w:t>
      </w:r>
    </w:p>
    <w:p w14:paraId="3223657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2F9389E"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Paragrafi 1) nuk zbatohet për të ardhurat nga nafta e nxjerrë.</w:t>
      </w:r>
    </w:p>
    <w:p w14:paraId="7DFDAE75"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81AAD07"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3)     Shumat që duhet të përfshihen ose zbriten në llogaritjen e fitimeve të tatueshme dhe asetet e përdorura në nxjerrjen e fitimeve të tatueshme, duhet të alokohen aty ku</w:t>
      </w:r>
      <w:r>
        <w:rPr>
          <w:rFonts w:ascii="Times New Roman" w:eastAsia="Calibri" w:hAnsi="Times New Roman" w:cs="Times New Roman"/>
          <w:sz w:val="24"/>
          <w:szCs w:val="24"/>
          <w:lang w:val="sq-AL"/>
        </w:rPr>
        <w:t xml:space="preserve"> duhet t’i atribuohen</w:t>
      </w:r>
      <w:r w:rsidRPr="002E7011">
        <w:rPr>
          <w:rFonts w:ascii="Times New Roman" w:eastAsia="Calibri" w:hAnsi="Times New Roman" w:cs="Times New Roman"/>
          <w:sz w:val="24"/>
          <w:szCs w:val="24"/>
          <w:lang w:val="sq-AL"/>
        </w:rPr>
        <w:t>-</w:t>
      </w:r>
    </w:p>
    <w:p w14:paraId="026C9607"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AC42BAA"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     më shumë se një operacioni të veçantë hidrokarbur ose</w:t>
      </w:r>
    </w:p>
    <w:p w14:paraId="72CBD72C"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10AAF98"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    operacioneve të lidhura ose jo të lidhura me hidrokarburet.</w:t>
      </w:r>
    </w:p>
    <w:p w14:paraId="61FF1064"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124B2AF"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Në veçanti, kur nafta shitet me një çmim që tejkalon vlerën e tregut të përcaktuar në nenin 6 të këtij ligji, teprica alokohet</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në operacionet jo hidrokarbure dhe është e tatueshme si pjesë e fitimit të tatueshëm të këtyre operacioneve.</w:t>
      </w:r>
    </w:p>
    <w:p w14:paraId="47E79BB2"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B4CD761"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4)     Për të shmangur dyshimin dhe në bazë të neneve 14 dhe 15, shumat që i atribuohen siç duhet operacioneve hidrokarbure që janë </w:t>
      </w:r>
      <w:r w:rsidRPr="002E7011">
        <w:rPr>
          <w:rFonts w:ascii="Times New Roman" w:eastAsia="Calibri" w:hAnsi="Times New Roman" w:cs="Times New Roman"/>
          <w:sz w:val="24"/>
          <w:szCs w:val="24"/>
          <w:lang w:val="sq-AL"/>
        </w:rPr>
        <w:lastRenderedPageBreak/>
        <w:t>përjashtuar nga të ardhurat sipas nenit 10 (2) ose që nuk janë të zbritshme sipas nenit 12, nuk merren në konsideratë në llogaritjen e fitimeve të tatueshme nga operacionet jo hidrokarbure.</w:t>
      </w:r>
    </w:p>
    <w:p w14:paraId="6DEF644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3E7C36E"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5)    Rregullat e transferimit të çmimit zbatohen për shumat e përfshira ose të zbritura në llogaritjen e fitimeve të tatueshme të një operacioni të veçantë hidrokarbur dhe çdo alokimi sipas paragrafit 3).</w:t>
      </w:r>
    </w:p>
    <w:p w14:paraId="3D410457"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2504BFC"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6)     Kur personi që kryen një operacion të veçantë hidrokarbur paguan një palë të lidhur për asetet, shërbimet ose mjete të tjera të dhëna për operacionin, çdo zbritje e pretenduar nga personi kufizohet </w:t>
      </w:r>
      <w:r w:rsidRPr="00B93CB8">
        <w:rPr>
          <w:rFonts w:ascii="Times New Roman" w:eastAsia="Calibri" w:hAnsi="Times New Roman" w:cs="Times New Roman"/>
          <w:sz w:val="24"/>
          <w:szCs w:val="24"/>
          <w:lang w:val="sq-AL"/>
        </w:rPr>
        <w:t>në shumën pa fitim</w:t>
      </w:r>
      <w:r w:rsidRPr="002E7011">
        <w:rPr>
          <w:rFonts w:ascii="Times New Roman" w:eastAsia="Calibri" w:hAnsi="Times New Roman" w:cs="Times New Roman"/>
          <w:sz w:val="24"/>
          <w:szCs w:val="24"/>
          <w:lang w:val="sq-AL"/>
        </w:rPr>
        <w:t>.</w:t>
      </w:r>
    </w:p>
    <w:p w14:paraId="5D7FB5DF"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771161E"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7)     Për qëllim të paragrafit 6), shuma pa fitim përfshin kostot reale të shkaktuara nga pala e lidhur në sigurimin e aseteve, shërbimeve ose pajisjeve, por duke përjashtuar çdo kosto të shkaktuar nga pala e lidhur në favor të një personi tjetër që lidhet me palën e lidhur.</w:t>
      </w:r>
    </w:p>
    <w:p w14:paraId="186A28CF"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BAC519C"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14</w:t>
      </w:r>
    </w:p>
    <w:p w14:paraId="5CC3A14A"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Marrja dhe mbajtja e të drejtave hidrokarbure</w:t>
      </w:r>
    </w:p>
    <w:p w14:paraId="580F88FF" w14:textId="77777777" w:rsidR="00752448" w:rsidRPr="002E7011" w:rsidRDefault="00752448" w:rsidP="00752448">
      <w:pPr>
        <w:spacing w:after="0"/>
        <w:jc w:val="center"/>
        <w:rPr>
          <w:rFonts w:ascii="Times New Roman" w:eastAsia="Calibri" w:hAnsi="Times New Roman" w:cs="Times New Roman"/>
          <w:sz w:val="24"/>
          <w:szCs w:val="24"/>
          <w:lang w:val="sq-AL"/>
        </w:rPr>
      </w:pPr>
    </w:p>
    <w:p w14:paraId="670774CD"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1)      Marrja, mbajtja dhe heqja dorë nga një e drejtë hidrokarbure nuk është pjesë e operacioneve hidrokarbure. Në përputhje me nenin </w:t>
      </w:r>
      <w:r w:rsidRPr="002E7011">
        <w:rPr>
          <w:rFonts w:ascii="Times New Roman" w:eastAsia="Calibri" w:hAnsi="Times New Roman" w:cs="Times New Roman"/>
          <w:sz w:val="24"/>
          <w:szCs w:val="24"/>
          <w:lang w:val="sq-AL"/>
        </w:rPr>
        <w:lastRenderedPageBreak/>
        <w:t>7 (1) të këtij ligji, kjo e drejtë konsiderohet si pjesë e operacioneve jo hidrokarbure të mbajtësit dhe për të zbatohen dispozitat e Ligjit nr. 8438, datë 28.12.1998 "Për tatimin mbi të ardhurat", të ndryshuar.</w:t>
      </w:r>
    </w:p>
    <w:p w14:paraId="2418D855"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82FF205"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Një e drejtë hidrokarbure është -</w:t>
      </w:r>
    </w:p>
    <w:p w14:paraId="12648C0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65D8738"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     pasuria e paluajtshme;</w:t>
      </w:r>
    </w:p>
    <w:p w14:paraId="3D194789"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DDA2498" w14:textId="77777777" w:rsidR="00752448" w:rsidRPr="002E7011" w:rsidRDefault="00752448" w:rsidP="00752448">
      <w:pPr>
        <w:tabs>
          <w:tab w:val="left" w:pos="270"/>
        </w:tabs>
        <w:spacing w:after="0"/>
        <w:ind w:left="360" w:hanging="36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    e ndarë nga çdo interes tjetër në tokë që përbën zonën e kontratës dhe çdo aset tjetër që përdoret në operacionet hidrokarbure dhe</w:t>
      </w:r>
    </w:p>
    <w:p w14:paraId="04BA9C2F"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6067D10" w14:textId="77777777" w:rsidR="00752448" w:rsidRPr="002E7011" w:rsidRDefault="00752448" w:rsidP="00752448">
      <w:pPr>
        <w:spacing w:after="0"/>
        <w:ind w:left="360" w:hanging="36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c)    një aset i amortizueshëm që duhet të amortizohet në normën 5 për qind, në përputhje me nenin 22 (3) të ligjit nr. 8438, datë 28.12.1998 "Për tatimin mbi të ardhurat", i ndryshuar.</w:t>
      </w:r>
    </w:p>
    <w:p w14:paraId="41F874F4"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73AB7992"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3)    Rregullat e mëposhtme zbatohen për qëllimet e llogaritjes së fitimeve të tatueshme nga operacionet jo hidrokarbure sipas Ligjit nr. 8438, datë 28.12.1998 "Për tatimin mbi të ardhurat", i ndryshuar:</w:t>
      </w:r>
    </w:p>
    <w:p w14:paraId="1463DA71"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5BFD307"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shpenzimet e përcaktuara në nenin 12 (b) të këtij ligji nuk janë të zbritshme në masën që i atribuohen një të drejte hidrokarbure</w:t>
      </w:r>
      <w:r>
        <w:rPr>
          <w:rFonts w:ascii="Times New Roman" w:eastAsia="Calibri" w:hAnsi="Times New Roman" w:cs="Times New Roman"/>
          <w:sz w:val="24"/>
          <w:szCs w:val="24"/>
          <w:lang w:val="sq-AL"/>
        </w:rPr>
        <w:t>;</w:t>
      </w:r>
      <w:r w:rsidRPr="002E7011">
        <w:rPr>
          <w:rFonts w:ascii="Times New Roman" w:eastAsia="Calibri" w:hAnsi="Times New Roman" w:cs="Times New Roman"/>
          <w:sz w:val="24"/>
          <w:szCs w:val="24"/>
          <w:lang w:val="sq-AL"/>
        </w:rPr>
        <w:t xml:space="preserve"> dhe</w:t>
      </w:r>
    </w:p>
    <w:p w14:paraId="3B0F934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F92D00E"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 xml:space="preserve">b)      </w:t>
      </w:r>
      <w:r w:rsidRPr="002E7011">
        <w:rPr>
          <w:rFonts w:ascii="Times New Roman" w:eastAsia="Calibri" w:hAnsi="Times New Roman" w:cs="Times New Roman"/>
          <w:sz w:val="24"/>
          <w:szCs w:val="24"/>
          <w:lang w:val="sq-AL"/>
        </w:rPr>
        <w:tab/>
        <w:t>kostoja e një të drejte hidrokarbure mund të përfshijë shpenzimet e referuara në nenin 12 (d) të këtij Ligji, por nuk përfshin shpenzimet e e referuara në nenin 12 (b) të këtij Ligji.</w:t>
      </w:r>
    </w:p>
    <w:p w14:paraId="1E44962F"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8424E88" w14:textId="77777777" w:rsidR="00752448" w:rsidRPr="002E7011" w:rsidRDefault="00752448" w:rsidP="00752448">
      <w:pPr>
        <w:tabs>
          <w:tab w:val="left" w:pos="4500"/>
        </w:tabs>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4)    Ministri përgjegjës për financat, me udhëzim, mund të vendosë metodën e atribuimit të shpenzime</w:t>
      </w:r>
      <w:r>
        <w:rPr>
          <w:rFonts w:ascii="Times New Roman" w:eastAsia="Calibri" w:hAnsi="Times New Roman" w:cs="Times New Roman"/>
          <w:sz w:val="24"/>
          <w:szCs w:val="24"/>
          <w:lang w:val="sq-AL"/>
        </w:rPr>
        <w:t>ve të referuara në paragrafin 3</w:t>
      </w:r>
      <w:r w:rsidRPr="002E7011">
        <w:rPr>
          <w:rFonts w:ascii="Times New Roman" w:eastAsia="Calibri" w:hAnsi="Times New Roman" w:cs="Times New Roman"/>
          <w:sz w:val="24"/>
          <w:szCs w:val="24"/>
          <w:lang w:val="sq-AL"/>
        </w:rPr>
        <w:t>(a) për të drejtën hidrokarbure, duke përfshirë dhe u bazuar në një vlere krahasuese të aseteve ose qarkullimit/xhiros.</w:t>
      </w:r>
    </w:p>
    <w:p w14:paraId="32CB9FDB"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8C07657"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15</w:t>
      </w:r>
    </w:p>
    <w:p w14:paraId="1A88C305"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DD434E">
        <w:rPr>
          <w:rFonts w:ascii="Times New Roman" w:eastAsia="Calibri" w:hAnsi="Times New Roman" w:cs="Times New Roman"/>
          <w:b/>
          <w:sz w:val="24"/>
          <w:szCs w:val="24"/>
          <w:lang w:val="sq-AL"/>
        </w:rPr>
        <w:t>Transferimi i</w:t>
      </w:r>
      <w:r w:rsidRPr="002E7011">
        <w:rPr>
          <w:rFonts w:ascii="Times New Roman" w:eastAsia="Calibri" w:hAnsi="Times New Roman" w:cs="Times New Roman"/>
          <w:b/>
          <w:sz w:val="24"/>
          <w:szCs w:val="24"/>
          <w:lang w:val="sq-AL"/>
        </w:rPr>
        <w:t xml:space="preserve"> të drejtave hidrokarbure</w:t>
      </w:r>
    </w:p>
    <w:p w14:paraId="0BAE616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BDA4916"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     Transferimi i një të drejte hidrokarbure, në tërësi ose pjesërisht, shkakton pasoja tatimore për operacionet hidrokarbure dhe jo hidrokarbure të personit që kryen shitjen.</w:t>
      </w:r>
    </w:p>
    <w:p w14:paraId="4032A716"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7240C584"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Në lidhje me operacionet hidrokarbure</w:t>
      </w:r>
      <w:r w:rsidRPr="002E7011">
        <w:rPr>
          <w:rFonts w:ascii="Times New Roman" w:eastAsia="Calibri" w:hAnsi="Times New Roman" w:cs="Times New Roman"/>
          <w:color w:val="000000"/>
          <w:sz w:val="24"/>
          <w:szCs w:val="24"/>
          <w:lang w:val="sq-AL"/>
        </w:rPr>
        <w:t>, zbatohen rregullat e mëposhtme, por vetëm kur e drejta hidrokarbure transferohet së bashku me të njëjtën pjesë</w:t>
      </w:r>
      <w:r w:rsidRPr="002E7011">
        <w:rPr>
          <w:rFonts w:ascii="Times New Roman" w:eastAsia="Calibri" w:hAnsi="Times New Roman" w:cs="Times New Roman"/>
          <w:sz w:val="24"/>
          <w:szCs w:val="24"/>
          <w:lang w:val="sq-AL"/>
        </w:rPr>
        <w:t xml:space="preserve"> proporcionale të interesit të transferuesit në operacionin e veçantë hidrokarbur të kryer sipas të drejtës. Për qëllime të llogaritjes së tatim fitimit, të pag</w:t>
      </w:r>
      <w:r>
        <w:rPr>
          <w:rFonts w:ascii="Times New Roman" w:eastAsia="Calibri" w:hAnsi="Times New Roman" w:cs="Times New Roman"/>
          <w:sz w:val="24"/>
          <w:szCs w:val="24"/>
          <w:lang w:val="sq-AL"/>
        </w:rPr>
        <w:t>ueshëm nga marrësi, transferohen</w:t>
      </w:r>
      <w:r w:rsidRPr="002E7011">
        <w:rPr>
          <w:rFonts w:ascii="Times New Roman" w:eastAsia="Calibri" w:hAnsi="Times New Roman" w:cs="Times New Roman"/>
          <w:sz w:val="24"/>
          <w:szCs w:val="24"/>
          <w:lang w:val="sq-AL"/>
        </w:rPr>
        <w:t xml:space="preserve"> tek marrësi-</w:t>
      </w:r>
    </w:p>
    <w:p w14:paraId="39E64094"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1484FB2"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 xml:space="preserve">a) </w:t>
      </w:r>
      <w:r w:rsidRPr="002E7011">
        <w:rPr>
          <w:rFonts w:ascii="Times New Roman" w:eastAsia="Calibri" w:hAnsi="Times New Roman" w:cs="Times New Roman"/>
          <w:sz w:val="24"/>
          <w:szCs w:val="24"/>
          <w:lang w:val="sq-AL"/>
        </w:rPr>
        <w:tab/>
        <w:t>humbjet për operacionin hidrokarbur (nëse ka) të mbartura në periudhën tatimore në të cilën ndodh transferimi dhe që janë humbje të lejuara në përputhje me nenin 9 të këtij ligji;</w:t>
      </w:r>
    </w:p>
    <w:p w14:paraId="5E264903"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7DCBE0C3"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w:t>
      </w:r>
      <w:r w:rsidRPr="002E7011">
        <w:rPr>
          <w:rFonts w:ascii="Times New Roman" w:eastAsia="Calibri" w:hAnsi="Times New Roman" w:cs="Times New Roman"/>
          <w:sz w:val="24"/>
          <w:szCs w:val="24"/>
          <w:lang w:val="sq-AL"/>
        </w:rPr>
        <w:tab/>
        <w:t xml:space="preserve"> të ardhurat për operacionin hidrokarbur lidhur me naftën e nxjerrë ose ndryshe të </w:t>
      </w:r>
      <w:r>
        <w:rPr>
          <w:rFonts w:ascii="Times New Roman" w:eastAsia="Calibri" w:hAnsi="Times New Roman" w:cs="Times New Roman"/>
          <w:sz w:val="24"/>
          <w:szCs w:val="24"/>
          <w:lang w:val="sq-AL"/>
        </w:rPr>
        <w:t>përftuar</w:t>
      </w:r>
      <w:r w:rsidRPr="002E7011">
        <w:rPr>
          <w:rFonts w:ascii="Times New Roman" w:eastAsia="Calibri" w:hAnsi="Times New Roman" w:cs="Times New Roman"/>
          <w:sz w:val="24"/>
          <w:szCs w:val="24"/>
          <w:lang w:val="sq-AL"/>
        </w:rPr>
        <w:t xml:space="preserve"> gjatë periudhës tatimore dhe në kohën e transferimit që përfshihe</w:t>
      </w:r>
      <w:r>
        <w:rPr>
          <w:rFonts w:ascii="Times New Roman" w:eastAsia="Calibri" w:hAnsi="Times New Roman" w:cs="Times New Roman"/>
          <w:sz w:val="24"/>
          <w:szCs w:val="24"/>
          <w:lang w:val="sq-AL"/>
        </w:rPr>
        <w:t>n</w:t>
      </w:r>
      <w:r w:rsidRPr="002E7011">
        <w:rPr>
          <w:rFonts w:ascii="Times New Roman" w:eastAsia="Calibri" w:hAnsi="Times New Roman" w:cs="Times New Roman"/>
          <w:sz w:val="24"/>
          <w:szCs w:val="24"/>
          <w:lang w:val="sq-AL"/>
        </w:rPr>
        <w:t xml:space="preserve"> në përcaktimin e nenit 10 të këtij ligji;</w:t>
      </w:r>
    </w:p>
    <w:p w14:paraId="117A8F88"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25E0FD18"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c) </w:t>
      </w:r>
      <w:r w:rsidRPr="002E7011">
        <w:rPr>
          <w:rFonts w:ascii="Times New Roman" w:eastAsia="Calibri" w:hAnsi="Times New Roman" w:cs="Times New Roman"/>
          <w:sz w:val="24"/>
          <w:szCs w:val="24"/>
          <w:lang w:val="sq-AL"/>
        </w:rPr>
        <w:tab/>
        <w:t>shpenzimet për operacionin hidrokarbur, të shkaktuara gjatë periudhës tatimore dhe deri në kohën e transferimit, të cilat janë të zbritshme sipas nenit 11 të këtij Ligji dhe</w:t>
      </w:r>
    </w:p>
    <w:p w14:paraId="435A4D65"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7A58070F"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d)</w:t>
      </w:r>
      <w:r w:rsidRPr="002E7011">
        <w:rPr>
          <w:rFonts w:ascii="Times New Roman" w:eastAsia="Calibri" w:hAnsi="Times New Roman" w:cs="Times New Roman"/>
          <w:sz w:val="24"/>
          <w:szCs w:val="24"/>
          <w:lang w:val="sq-AL"/>
        </w:rPr>
        <w:tab/>
        <w:t xml:space="preserve"> këstet tatimore të paguara gjatë periudhës tatimore dhe kohës së transferimit, siç kërkohet nga neni 23 i këtij Ligji.</w:t>
      </w:r>
    </w:p>
    <w:p w14:paraId="1E13D5D1"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79FE8711"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Këto shuma alokohen sipas shkallës së interesit të transferuar. Në masën që humbjet, të ardhurat, shpenzimet dhe këstet</w:t>
      </w:r>
      <w:r w:rsidRPr="002E7011">
        <w:rPr>
          <w:rFonts w:ascii="Times New Roman" w:eastAsia="Calibri" w:hAnsi="Times New Roman" w:cs="Times New Roman"/>
          <w:sz w:val="24"/>
          <w:szCs w:val="24"/>
        </w:rPr>
        <w:t xml:space="preserve"> janë transferuar</w:t>
      </w:r>
      <w:r w:rsidRPr="002E7011">
        <w:rPr>
          <w:rFonts w:ascii="Times New Roman" w:eastAsia="Calibri" w:hAnsi="Times New Roman" w:cs="Times New Roman"/>
          <w:sz w:val="24"/>
          <w:szCs w:val="24"/>
          <w:lang w:val="sq-AL"/>
        </w:rPr>
        <w:t>, ato nuk i atribuohen më transferuesit.</w:t>
      </w:r>
    </w:p>
    <w:p w14:paraId="349096B4"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29F2573A"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3) </w:t>
      </w:r>
      <w:r w:rsidRPr="002E7011">
        <w:rPr>
          <w:rFonts w:ascii="Times New Roman" w:eastAsia="Calibri" w:hAnsi="Times New Roman" w:cs="Times New Roman"/>
          <w:sz w:val="24"/>
          <w:szCs w:val="24"/>
          <w:lang w:val="sq-AL"/>
        </w:rPr>
        <w:tab/>
        <w:t>Në lidhje me operacionet jo hidrokarbure, neni 22 (7) i Ligjit nr. 8438, datë 28.12.1998 "Për tatimin mbi të ardhurat", i ndryshuar, zbatohet për  transferimin tërësisht ose pjesërisht të një të drejte hidrokarbure.</w:t>
      </w:r>
    </w:p>
    <w:p w14:paraId="51090BC2"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314FA73"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4)      Kur një e drejtë hidrokarbure  transferohet tërësisht ose pjesërisht së bashku me asetet e tjera, qoftë të përdorura në operacione hidrokarbure apo johidrokarbure, neni 13 i këtij ligji zbatohet për shpërndarjen proporcionale të  shpenzimeve , kostove dhe shumave  të shkaktuara nga  transferimi.</w:t>
      </w:r>
    </w:p>
    <w:p w14:paraId="36D8F9FA"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CFAAA63"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     Në përcaktimin e shumave që shkaktohen nga  transferimi </w:t>
      </w:r>
      <w:r>
        <w:rPr>
          <w:rFonts w:ascii="Times New Roman" w:eastAsia="Calibri" w:hAnsi="Times New Roman" w:cs="Times New Roman"/>
          <w:sz w:val="24"/>
          <w:szCs w:val="24"/>
          <w:lang w:val="sq-AL"/>
        </w:rPr>
        <w:t>i</w:t>
      </w:r>
      <w:r w:rsidRPr="002E7011">
        <w:rPr>
          <w:rFonts w:ascii="Times New Roman" w:eastAsia="Calibri" w:hAnsi="Times New Roman" w:cs="Times New Roman"/>
          <w:sz w:val="24"/>
          <w:szCs w:val="24"/>
          <w:lang w:val="sq-AL"/>
        </w:rPr>
        <w:t xml:space="preserve"> një të drejte hidrokarbure, duke përfshirë një transferim sipas  një marrëveshje nënkontraktimi ose kur vlerësimi për  transferimin  përfshin  rentën -</w:t>
      </w:r>
    </w:p>
    <w:p w14:paraId="77676523"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49FF35D"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       përfshihen shumat ose përfitimet që do të merren në të ardhmen nga transferimi dhe;</w:t>
      </w:r>
    </w:p>
    <w:p w14:paraId="1748162C"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387523A"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w:t>
      </w:r>
      <w:r w:rsidRPr="002E7011">
        <w:rPr>
          <w:rFonts w:ascii="Times New Roman" w:eastAsia="Calibri" w:hAnsi="Times New Roman" w:cs="Times New Roman"/>
          <w:sz w:val="24"/>
          <w:szCs w:val="24"/>
          <w:lang w:val="sq-AL"/>
        </w:rPr>
        <w:tab/>
        <w:t>kur këto shuma ose përfitime duhet të merren më shumë se një vit në të ardhmen, shumat llogariten në vlerën e tyre aktuale të tregut duke përdorur një metodologji të vlerës aktuale të përshtatshme dhe</w:t>
      </w:r>
    </w:p>
    <w:p w14:paraId="0E880491" w14:textId="77777777" w:rsidR="0088302B" w:rsidRDefault="0088302B" w:rsidP="00752448">
      <w:pPr>
        <w:spacing w:after="0"/>
        <w:jc w:val="both"/>
        <w:rPr>
          <w:rFonts w:ascii="Times New Roman" w:eastAsia="Calibri" w:hAnsi="Times New Roman" w:cs="Times New Roman"/>
          <w:sz w:val="24"/>
          <w:szCs w:val="24"/>
          <w:lang w:val="sq-AL"/>
        </w:rPr>
      </w:pPr>
    </w:p>
    <w:p w14:paraId="3F81BDBB"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një shumë ekuivalente trajtohet si pjesë e kostove të shkaktuara nga marrësi i të drejtës hidrokarbure.</w:t>
      </w:r>
    </w:p>
    <w:p w14:paraId="6F5882A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1983035"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6)     Për qëllime të përcaktimit të fitimeve të tatueshme nga operacionet jo hidrokarbure, nenet 27 dhe 27/1 të Ligjit nr. 8438, datë 28.12.1998 "Për tatimin mbi të ardhurat", i ndryshuar, zbatohen për transferimin indirekt të një të drejte hidrokarbure.</w:t>
      </w:r>
    </w:p>
    <w:p w14:paraId="367E334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2282E6D8"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16</w:t>
      </w:r>
    </w:p>
    <w:p w14:paraId="12DEA617"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Fondet e miratuara të rehabilitimit</w:t>
      </w:r>
    </w:p>
    <w:p w14:paraId="02968DFC"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4D1B6EA" w14:textId="77777777" w:rsidR="00752448" w:rsidRPr="002E7011" w:rsidRDefault="00752448" w:rsidP="00752448">
      <w:pPr>
        <w:spacing w:after="0"/>
        <w:jc w:val="both"/>
        <w:rPr>
          <w:rFonts w:ascii="Times New Roman" w:eastAsia="Times New Roman" w:hAnsi="Times New Roman" w:cs="Times New Roman"/>
          <w:sz w:val="24"/>
          <w:szCs w:val="24"/>
          <w:lang w:val="sq-AL"/>
        </w:rPr>
      </w:pPr>
      <w:r w:rsidRPr="002E7011">
        <w:rPr>
          <w:rFonts w:ascii="Times New Roman" w:eastAsia="Times New Roman" w:hAnsi="Times New Roman" w:cs="Times New Roman"/>
          <w:sz w:val="24"/>
          <w:szCs w:val="24"/>
          <w:lang w:val="sq-AL"/>
        </w:rPr>
        <w:t>1)     Një fond rehabilitimi i miratuar përjashtohet nga tatimi.</w:t>
      </w:r>
    </w:p>
    <w:p w14:paraId="5C631BF4" w14:textId="77777777" w:rsidR="00752448" w:rsidRPr="002E7011" w:rsidRDefault="00752448" w:rsidP="00752448">
      <w:pPr>
        <w:spacing w:after="0"/>
        <w:jc w:val="both"/>
        <w:rPr>
          <w:rFonts w:ascii="Times New Roman" w:eastAsia="Times New Roman" w:hAnsi="Times New Roman" w:cs="Times New Roman"/>
          <w:sz w:val="24"/>
          <w:szCs w:val="24"/>
          <w:lang w:val="sq-AL"/>
        </w:rPr>
      </w:pPr>
    </w:p>
    <w:p w14:paraId="61345487" w14:textId="77777777" w:rsidR="00752448" w:rsidRPr="002E7011" w:rsidRDefault="00752448" w:rsidP="00752448">
      <w:pPr>
        <w:spacing w:after="0"/>
        <w:jc w:val="both"/>
        <w:rPr>
          <w:rFonts w:ascii="Times New Roman" w:eastAsia="Times New Roman" w:hAnsi="Times New Roman" w:cs="Times New Roman"/>
          <w:sz w:val="24"/>
          <w:szCs w:val="24"/>
          <w:lang w:val="sq-AL"/>
        </w:rPr>
      </w:pPr>
      <w:r w:rsidRPr="002E7011">
        <w:rPr>
          <w:rFonts w:ascii="Times New Roman" w:eastAsia="Times New Roman" w:hAnsi="Times New Roman" w:cs="Times New Roman"/>
          <w:sz w:val="24"/>
          <w:szCs w:val="24"/>
          <w:lang w:val="sq-AL"/>
        </w:rPr>
        <w:t>2)     Një tepricë në një fond rehabilitimi të miratuar të një operacioni të veçantë hidrokarbur të kryer nga një person, përfshihet në të ardhurat nga operacioni kur-</w:t>
      </w:r>
    </w:p>
    <w:p w14:paraId="2F9BA6AC" w14:textId="77777777" w:rsidR="00752448" w:rsidRPr="002E7011" w:rsidRDefault="00752448" w:rsidP="00752448">
      <w:pPr>
        <w:spacing w:after="0"/>
        <w:jc w:val="both"/>
        <w:rPr>
          <w:rFonts w:ascii="Times New Roman" w:eastAsia="Times New Roman" w:hAnsi="Times New Roman" w:cs="Times New Roman"/>
          <w:sz w:val="24"/>
          <w:szCs w:val="24"/>
          <w:lang w:val="sq-AL"/>
        </w:rPr>
      </w:pPr>
    </w:p>
    <w:p w14:paraId="0155CFFB" w14:textId="77777777" w:rsidR="00752448" w:rsidRPr="002E7011" w:rsidRDefault="00752448" w:rsidP="00752448">
      <w:pPr>
        <w:spacing w:after="0"/>
        <w:ind w:left="567" w:hanging="567"/>
        <w:jc w:val="both"/>
        <w:rPr>
          <w:rFonts w:ascii="Times New Roman" w:eastAsia="Times New Roman" w:hAnsi="Times New Roman" w:cs="Times New Roman"/>
          <w:sz w:val="24"/>
          <w:szCs w:val="24"/>
          <w:lang w:val="sq-AL"/>
        </w:rPr>
      </w:pPr>
      <w:r w:rsidRPr="002E7011">
        <w:rPr>
          <w:rFonts w:ascii="Times New Roman" w:eastAsia="Times New Roman" w:hAnsi="Times New Roman" w:cs="Times New Roman"/>
          <w:sz w:val="24"/>
          <w:szCs w:val="24"/>
          <w:lang w:val="sq-AL"/>
        </w:rPr>
        <w:t xml:space="preserve">a) </w:t>
      </w:r>
      <w:r w:rsidRPr="002E7011">
        <w:rPr>
          <w:rFonts w:ascii="Times New Roman" w:eastAsia="Times New Roman" w:hAnsi="Times New Roman" w:cs="Times New Roman"/>
          <w:sz w:val="24"/>
          <w:szCs w:val="24"/>
          <w:lang w:val="sq-AL"/>
        </w:rPr>
        <w:tab/>
        <w:t>Ministri përgjegjës për çështjet hidrokarbure vërteton se braktisja, rehabilitimi dhe eliminimi i operacionit është i plotë dhe personi ka të drejtë të marrë tepricën; ose</w:t>
      </w:r>
    </w:p>
    <w:p w14:paraId="54188C33" w14:textId="77777777" w:rsidR="00752448" w:rsidRPr="002E7011" w:rsidRDefault="00752448" w:rsidP="00752448">
      <w:pPr>
        <w:spacing w:after="0"/>
        <w:jc w:val="both"/>
        <w:rPr>
          <w:rFonts w:ascii="Times New Roman" w:eastAsia="Times New Roman" w:hAnsi="Times New Roman" w:cs="Times New Roman"/>
          <w:sz w:val="24"/>
          <w:szCs w:val="24"/>
          <w:lang w:val="sq-AL"/>
        </w:rPr>
      </w:pPr>
    </w:p>
    <w:p w14:paraId="4CC76D53" w14:textId="77777777" w:rsidR="00752448" w:rsidRPr="002E7011" w:rsidRDefault="00752448" w:rsidP="00752448">
      <w:pPr>
        <w:spacing w:after="0"/>
        <w:ind w:left="567" w:hanging="567"/>
        <w:jc w:val="both"/>
        <w:rPr>
          <w:rFonts w:ascii="Times New Roman" w:eastAsia="Times New Roman" w:hAnsi="Times New Roman" w:cs="Times New Roman"/>
          <w:sz w:val="24"/>
          <w:szCs w:val="24"/>
          <w:lang w:val="sq-AL"/>
        </w:rPr>
      </w:pPr>
      <w:r w:rsidRPr="002E7011">
        <w:rPr>
          <w:rFonts w:ascii="Times New Roman" w:eastAsia="Times New Roman" w:hAnsi="Times New Roman" w:cs="Times New Roman"/>
          <w:sz w:val="24"/>
          <w:szCs w:val="24"/>
          <w:lang w:val="sq-AL"/>
        </w:rPr>
        <w:t xml:space="preserve">b) </w:t>
      </w:r>
      <w:r w:rsidRPr="002E7011">
        <w:rPr>
          <w:rFonts w:ascii="Times New Roman" w:eastAsia="Times New Roman" w:hAnsi="Times New Roman" w:cs="Times New Roman"/>
          <w:sz w:val="24"/>
          <w:szCs w:val="24"/>
          <w:lang w:val="sq-AL"/>
        </w:rPr>
        <w:tab/>
        <w:t>personi shkel kushtet e braktisjes, rehabilitimit dhe eliminimit të miratuar nga Ministri.</w:t>
      </w:r>
    </w:p>
    <w:p w14:paraId="19B9E491" w14:textId="77777777" w:rsidR="00752448" w:rsidRPr="002E7011" w:rsidRDefault="00752448" w:rsidP="00752448">
      <w:pPr>
        <w:spacing w:after="0"/>
        <w:jc w:val="both"/>
        <w:rPr>
          <w:rFonts w:ascii="Times New Roman" w:eastAsia="Times New Roman" w:hAnsi="Times New Roman" w:cs="Times New Roman"/>
          <w:sz w:val="24"/>
          <w:szCs w:val="24"/>
          <w:lang w:val="sq-AL"/>
        </w:rPr>
      </w:pPr>
    </w:p>
    <w:p w14:paraId="0B82593C"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Times New Roman" w:hAnsi="Times New Roman" w:cs="Times New Roman"/>
          <w:sz w:val="24"/>
          <w:szCs w:val="24"/>
          <w:lang w:val="sq-AL"/>
        </w:rPr>
        <w:t xml:space="preserve">3) </w:t>
      </w:r>
      <w:r w:rsidRPr="002E7011">
        <w:rPr>
          <w:rFonts w:ascii="Times New Roman" w:eastAsia="Times New Roman" w:hAnsi="Times New Roman" w:cs="Times New Roman"/>
          <w:sz w:val="24"/>
          <w:szCs w:val="24"/>
          <w:lang w:val="sq-AL"/>
        </w:rPr>
        <w:tab/>
        <w:t xml:space="preserve">Shumat e paguara nga një fond i miratuar rehabilitimi i një operacioni të veçantë hidrokarbur tek personi që kryen operacionin </w:t>
      </w:r>
      <w:r w:rsidRPr="002E7011">
        <w:rPr>
          <w:rFonts w:ascii="Times New Roman" w:eastAsia="Times New Roman" w:hAnsi="Times New Roman" w:cs="Times New Roman"/>
          <w:sz w:val="24"/>
          <w:szCs w:val="24"/>
          <w:lang w:val="sq-AL"/>
        </w:rPr>
        <w:lastRenderedPageBreak/>
        <w:t>për të përmbushur shpenzimet e braktisjes, rehabilitimit dhe eliminimit të operacionit, nuk janë të ardhura të personit.</w:t>
      </w:r>
    </w:p>
    <w:p w14:paraId="22A5FC02"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4C1AED1"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255C7CD1"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82D1F30" w14:textId="77777777" w:rsidR="00752448" w:rsidRPr="002E7011" w:rsidRDefault="00752448" w:rsidP="00752448">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KAPITULLI IV</w:t>
      </w:r>
    </w:p>
    <w:p w14:paraId="2612564C" w14:textId="77777777" w:rsidR="00752448" w:rsidRPr="002E7011" w:rsidRDefault="00752448" w:rsidP="00752448">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MARRËVESHJET HIDROKARBURE</w:t>
      </w:r>
    </w:p>
    <w:p w14:paraId="28855DA1" w14:textId="77777777" w:rsidR="00752448" w:rsidRPr="002E7011" w:rsidRDefault="00752448" w:rsidP="00752448">
      <w:pPr>
        <w:spacing w:after="0"/>
        <w:jc w:val="center"/>
        <w:rPr>
          <w:rFonts w:ascii="Times New Roman" w:eastAsia="Calibri" w:hAnsi="Times New Roman" w:cs="Times New Roman"/>
          <w:sz w:val="24"/>
          <w:szCs w:val="24"/>
          <w:lang w:val="sq-AL"/>
        </w:rPr>
      </w:pPr>
    </w:p>
    <w:p w14:paraId="1F65AFEC"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17</w:t>
      </w:r>
    </w:p>
    <w:p w14:paraId="1B1AC0AF"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Detyrimi për marrjen në konsideratë të marrëveshjeve hidrokarbure</w:t>
      </w:r>
    </w:p>
    <w:p w14:paraId="6C5ECC25" w14:textId="77777777" w:rsidR="00752448" w:rsidRPr="002E7011" w:rsidRDefault="00752448" w:rsidP="00752448">
      <w:pPr>
        <w:spacing w:after="0"/>
        <w:jc w:val="center"/>
        <w:rPr>
          <w:rFonts w:ascii="Times New Roman" w:eastAsia="Calibri" w:hAnsi="Times New Roman" w:cs="Times New Roman"/>
          <w:sz w:val="24"/>
          <w:szCs w:val="24"/>
          <w:lang w:val="sq-AL"/>
        </w:rPr>
      </w:pPr>
    </w:p>
    <w:p w14:paraId="0BCA87BA"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1)       Me përjashtim të rasteve të parashikuara në këtë nen ose shprehimisht nga një dispozitë </w:t>
      </w:r>
      <w:r w:rsidRPr="00E63377">
        <w:rPr>
          <w:rFonts w:ascii="Times New Roman" w:eastAsia="Calibri" w:hAnsi="Times New Roman" w:cs="Times New Roman"/>
          <w:sz w:val="24"/>
          <w:szCs w:val="24"/>
          <w:lang w:val="sq-AL"/>
        </w:rPr>
        <w:t>në një ligj tatimi të ardhurash</w:t>
      </w:r>
      <w:r w:rsidRPr="002E7011">
        <w:rPr>
          <w:rFonts w:ascii="Times New Roman" w:eastAsia="Calibri" w:hAnsi="Times New Roman" w:cs="Times New Roman"/>
          <w:sz w:val="24"/>
          <w:szCs w:val="24"/>
          <w:lang w:val="sq-AL"/>
        </w:rPr>
        <w:t xml:space="preserve"> (duke përfshirë edhe këtë ligj), marrëveshja e hidrokarbure (ose ndryshimi i saj) nuk ka ndikim në zbatimin e </w:t>
      </w:r>
      <w:r>
        <w:rPr>
          <w:rFonts w:ascii="Times New Roman" w:eastAsia="Calibri" w:hAnsi="Times New Roman" w:cs="Times New Roman"/>
          <w:sz w:val="24"/>
          <w:szCs w:val="24"/>
          <w:lang w:val="sq-AL"/>
        </w:rPr>
        <w:t>një ligji</w:t>
      </w:r>
      <w:r w:rsidRPr="002E7011">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tatimi</w:t>
      </w:r>
      <w:r w:rsidRPr="002E7011">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të ardhurash</w:t>
      </w:r>
      <w:r w:rsidRPr="002E7011">
        <w:rPr>
          <w:rFonts w:ascii="Times New Roman" w:eastAsia="Calibri" w:hAnsi="Times New Roman" w:cs="Times New Roman"/>
          <w:sz w:val="24"/>
          <w:szCs w:val="24"/>
          <w:lang w:val="sq-AL"/>
        </w:rPr>
        <w:t xml:space="preserve"> (duke përfshirë edhe këtë ligj). Kjo nënkupton se, administrata tatimore duhet të zbatojë dhe administrojë ligjet  mbi të ardhurat, pa marrë parasysh marrëveshjet e hidrokarbure.</w:t>
      </w:r>
    </w:p>
    <w:p w14:paraId="73C5ADC7"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1A8A8E0"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Në përputhje me nenin 20 të këtij ligji, rregullat e paragrafëve 3 dhe 4 zbatohen vetëm:</w:t>
      </w:r>
    </w:p>
    <w:p w14:paraId="3E635D56"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5007C6C" w14:textId="65766382"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a)       kur Ministri përgjegjës për finan</w:t>
      </w:r>
      <w:r w:rsidR="0088302B">
        <w:rPr>
          <w:rFonts w:ascii="Times New Roman" w:eastAsia="Calibri" w:hAnsi="Times New Roman" w:cs="Times New Roman"/>
          <w:sz w:val="24"/>
          <w:szCs w:val="24"/>
          <w:lang w:val="sq-AL"/>
        </w:rPr>
        <w:t xml:space="preserve">cat ka vërtetuar një kopje të  </w:t>
      </w:r>
      <w:r w:rsidRPr="002E7011">
        <w:rPr>
          <w:rFonts w:ascii="Times New Roman" w:eastAsia="Calibri" w:hAnsi="Times New Roman" w:cs="Times New Roman"/>
          <w:sz w:val="24"/>
          <w:szCs w:val="24"/>
          <w:lang w:val="sq-AL"/>
        </w:rPr>
        <w:t>marrëveshjes hidrokarbure dhe ja ka vënë në dispozicion administratës tatimore (qoftë nëpërmjet një regjistri publik ose ndryshe)</w:t>
      </w:r>
      <w:r>
        <w:rPr>
          <w:rFonts w:ascii="Times New Roman" w:eastAsia="Calibri" w:hAnsi="Times New Roman" w:cs="Times New Roman"/>
          <w:sz w:val="24"/>
          <w:szCs w:val="24"/>
          <w:lang w:val="sq-AL"/>
        </w:rPr>
        <w:t>;</w:t>
      </w:r>
      <w:r w:rsidRPr="002E7011">
        <w:rPr>
          <w:rFonts w:ascii="Times New Roman" w:eastAsia="Calibri" w:hAnsi="Times New Roman" w:cs="Times New Roman"/>
          <w:sz w:val="24"/>
          <w:szCs w:val="24"/>
          <w:lang w:val="sq-AL"/>
        </w:rPr>
        <w:t xml:space="preserve"> dhe</w:t>
      </w:r>
    </w:p>
    <w:p w14:paraId="7EB1E172"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922C4AF"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w:t>
      </w:r>
      <w:r w:rsidRPr="002E7011">
        <w:rPr>
          <w:rFonts w:ascii="Times New Roman" w:eastAsia="Calibri" w:hAnsi="Times New Roman" w:cs="Times New Roman"/>
          <w:sz w:val="24"/>
          <w:szCs w:val="24"/>
          <w:lang w:val="sq-AL"/>
        </w:rPr>
        <w:tab/>
        <w:t>për personin që ka të drejtë të kryejë operacione hidrokarbure sipas marrëveshjes dhe jo për ndonjë person tjetër.</w:t>
      </w:r>
    </w:p>
    <w:p w14:paraId="15E02134"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2668123"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3)     Në rastin e nje marrëveshjeje hidrokarbure (ose ndryshimit të saj) të lidhur para hyrjes në fuqi të këtij ligji, administrata tatimore duhet të zbatojë </w:t>
      </w:r>
      <w:r>
        <w:rPr>
          <w:rFonts w:ascii="Times New Roman" w:eastAsia="Calibri" w:hAnsi="Times New Roman" w:cs="Times New Roman"/>
          <w:sz w:val="24"/>
          <w:szCs w:val="24"/>
          <w:lang w:val="sq-AL"/>
        </w:rPr>
        <w:t>ligj</w:t>
      </w:r>
      <w:r w:rsidRPr="002E7011">
        <w:rPr>
          <w:rFonts w:ascii="Times New Roman" w:eastAsia="Calibri" w:hAnsi="Times New Roman" w:cs="Times New Roman"/>
          <w:sz w:val="24"/>
          <w:szCs w:val="24"/>
          <w:lang w:val="sq-AL"/>
        </w:rPr>
        <w:t xml:space="preserve"> t</w:t>
      </w:r>
      <w:r>
        <w:rPr>
          <w:rFonts w:ascii="Times New Roman" w:eastAsia="Calibri" w:hAnsi="Times New Roman" w:cs="Times New Roman"/>
          <w:sz w:val="24"/>
          <w:szCs w:val="24"/>
          <w:lang w:val="sq-AL"/>
        </w:rPr>
        <w:t>atimi</w:t>
      </w:r>
      <w:r w:rsidRPr="002E7011">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të ardhurash</w:t>
      </w:r>
      <w:r w:rsidRPr="002E7011">
        <w:rPr>
          <w:rFonts w:ascii="Times New Roman" w:eastAsia="Calibri" w:hAnsi="Times New Roman" w:cs="Times New Roman"/>
          <w:sz w:val="24"/>
          <w:szCs w:val="24"/>
          <w:lang w:val="sq-AL"/>
        </w:rPr>
        <w:t xml:space="preserve"> pas marrjes në konsideratë të ndonjë ndryshimi ose mbrojtje të ligjit të të ardhurave të kërkuar nga marrëveshja.</w:t>
      </w:r>
    </w:p>
    <w:p w14:paraId="4174ECD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DAFA943"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4)     Në rastin e nje marrëveshjeje hidrokarbure</w:t>
      </w:r>
      <w:r w:rsidRPr="002E7011" w:rsidDel="005F315E">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 xml:space="preserve">(ose ndryshimit të saj) të lidhur </w:t>
      </w:r>
      <w:r w:rsidRPr="006F21BF">
        <w:rPr>
          <w:rFonts w:ascii="Times New Roman" w:eastAsia="Calibri" w:hAnsi="Times New Roman" w:cs="Times New Roman"/>
          <w:sz w:val="24"/>
          <w:szCs w:val="24"/>
          <w:lang w:val="sq-AL"/>
        </w:rPr>
        <w:t>gjatë kohës ose</w:t>
      </w:r>
      <w:r w:rsidRPr="002E7011">
        <w:rPr>
          <w:rFonts w:ascii="Times New Roman" w:eastAsia="Calibri" w:hAnsi="Times New Roman" w:cs="Times New Roman"/>
          <w:sz w:val="24"/>
          <w:szCs w:val="24"/>
          <w:lang w:val="sq-AL"/>
        </w:rPr>
        <w:t xml:space="preserve"> pas hyrjes në fuqi të këtij ligji, administrata tatimore duhet të zbatojë</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ligj për tatim të ardhura</w:t>
      </w:r>
      <w:r>
        <w:rPr>
          <w:rFonts w:ascii="Times New Roman" w:eastAsia="Calibri" w:hAnsi="Times New Roman" w:cs="Times New Roman"/>
          <w:sz w:val="24"/>
          <w:szCs w:val="24"/>
          <w:lang w:val="sq-AL"/>
        </w:rPr>
        <w:t>sh</w:t>
      </w:r>
      <w:r w:rsidRPr="002E7011">
        <w:rPr>
          <w:rFonts w:ascii="Times New Roman" w:eastAsia="Calibri" w:hAnsi="Times New Roman" w:cs="Times New Roman"/>
          <w:sz w:val="24"/>
          <w:szCs w:val="24"/>
          <w:lang w:val="sq-AL"/>
        </w:rPr>
        <w:t xml:space="preserve"> pas marrjes konsideratë të ndonjë:</w:t>
      </w:r>
    </w:p>
    <w:p w14:paraId="16FD340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AC29FDB"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klauzole të miratuar të stabilitetit të regjimit fiskal në marrëveshje, siç parashikohet nga neni 18 i këtij ligji</w:t>
      </w:r>
      <w:r>
        <w:rPr>
          <w:rFonts w:ascii="Times New Roman" w:eastAsia="Calibri" w:hAnsi="Times New Roman" w:cs="Times New Roman"/>
          <w:sz w:val="24"/>
          <w:szCs w:val="24"/>
          <w:lang w:val="sq-AL"/>
        </w:rPr>
        <w:t>;</w:t>
      </w:r>
      <w:r w:rsidRPr="002E7011">
        <w:rPr>
          <w:rFonts w:ascii="Times New Roman" w:eastAsia="Calibri" w:hAnsi="Times New Roman" w:cs="Times New Roman"/>
          <w:sz w:val="24"/>
          <w:szCs w:val="24"/>
          <w:lang w:val="sq-AL"/>
        </w:rPr>
        <w:t xml:space="preserve"> dhe</w:t>
      </w:r>
    </w:p>
    <w:p w14:paraId="677B52D2"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1254053"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r>
      <w:r>
        <w:rPr>
          <w:rFonts w:ascii="Times New Roman" w:eastAsia="Calibri" w:hAnsi="Times New Roman" w:cs="Times New Roman"/>
          <w:sz w:val="24"/>
          <w:szCs w:val="24"/>
          <w:lang w:val="sq-AL"/>
        </w:rPr>
        <w:t>lehtësimi nga taksat/</w:t>
      </w:r>
      <w:r w:rsidRPr="00151087">
        <w:rPr>
          <w:rFonts w:ascii="Times New Roman" w:eastAsia="Calibri" w:hAnsi="Times New Roman" w:cs="Times New Roman"/>
          <w:sz w:val="24"/>
          <w:szCs w:val="24"/>
          <w:lang w:val="sq-AL"/>
        </w:rPr>
        <w:t>tarifat</w:t>
      </w:r>
      <w:r w:rsidRPr="002E7011">
        <w:rPr>
          <w:rFonts w:ascii="Times New Roman" w:eastAsia="Calibri" w:hAnsi="Times New Roman" w:cs="Times New Roman"/>
          <w:sz w:val="24"/>
          <w:szCs w:val="24"/>
          <w:lang w:val="sq-AL"/>
        </w:rPr>
        <w:t xml:space="preserve"> vendore të parashikuara në marrëveshje, siç parashikohet nga neni 19 i këtij ligji.</w:t>
      </w:r>
    </w:p>
    <w:p w14:paraId="0D215133"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234C8FA"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18</w:t>
      </w:r>
    </w:p>
    <w:p w14:paraId="4E0EEDAF" w14:textId="04078405" w:rsidR="00752448" w:rsidRPr="002E7011" w:rsidRDefault="00752448" w:rsidP="00752448">
      <w:pPr>
        <w:spacing w:after="0"/>
        <w:jc w:val="center"/>
        <w:rPr>
          <w:rFonts w:ascii="Times New Roman" w:eastAsia="Calibri" w:hAnsi="Times New Roman" w:cs="Times New Roman"/>
          <w:b/>
          <w:sz w:val="24"/>
          <w:szCs w:val="24"/>
          <w:lang w:val="sq-AL"/>
        </w:rPr>
      </w:pPr>
      <w:r w:rsidRPr="002E7011" w:rsidDel="00CE7B59">
        <w:rPr>
          <w:rFonts w:ascii="Times New Roman" w:eastAsia="Calibri" w:hAnsi="Times New Roman" w:cs="Times New Roman"/>
          <w:b/>
          <w:sz w:val="24"/>
          <w:szCs w:val="24"/>
          <w:lang w:val="sq-AL"/>
        </w:rPr>
        <w:t>Klauzola e miratuar e stabilitetit fiskal</w:t>
      </w:r>
    </w:p>
    <w:p w14:paraId="2DC1200D"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4F76584"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1) </w:t>
      </w:r>
      <w:r w:rsidRPr="002E7011">
        <w:rPr>
          <w:rFonts w:ascii="Times New Roman" w:eastAsia="Calibri" w:hAnsi="Times New Roman" w:cs="Times New Roman"/>
          <w:sz w:val="24"/>
          <w:szCs w:val="24"/>
          <w:lang w:val="sq-AL"/>
        </w:rPr>
        <w:tab/>
        <w:t xml:space="preserve">Një klauzolë e stabilitetit të regjimit fiskal në një marrëveshje hidrokarbure (ose ndryshim të saj) </w:t>
      </w:r>
      <w:r w:rsidRPr="001853AA">
        <w:rPr>
          <w:rFonts w:ascii="Times New Roman" w:eastAsia="Calibri" w:hAnsi="Times New Roman" w:cs="Times New Roman"/>
          <w:sz w:val="24"/>
          <w:szCs w:val="24"/>
          <w:lang w:val="sq-AL"/>
        </w:rPr>
        <w:t>të lidhur  gjatë ose</w:t>
      </w:r>
      <w:r w:rsidRPr="002E7011">
        <w:rPr>
          <w:rFonts w:ascii="Times New Roman" w:eastAsia="Calibri" w:hAnsi="Times New Roman" w:cs="Times New Roman"/>
          <w:sz w:val="24"/>
          <w:szCs w:val="24"/>
          <w:lang w:val="sq-AL"/>
        </w:rPr>
        <w:t xml:space="preserve"> pas hyrjes në fuqi të këtij ligji është një klauzolë e miratuar e stabilitetit të regjimit fiskal në masën që mbron një mbajtës të së drejtës hidrokarbure nga:</w:t>
      </w:r>
    </w:p>
    <w:p w14:paraId="01FE6E25"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8D43837"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w:t>
      </w:r>
      <w:r w:rsidRPr="002E7011">
        <w:rPr>
          <w:rFonts w:ascii="Times New Roman" w:eastAsia="Calibri" w:hAnsi="Times New Roman" w:cs="Times New Roman"/>
          <w:sz w:val="24"/>
          <w:szCs w:val="24"/>
          <w:lang w:val="sq-AL"/>
        </w:rPr>
        <w:tab/>
        <w:t xml:space="preserve"> vendosja e tatimeve dhe taksave të reja diskriminuese, tarifave dhe detyrimeve të tjera financiare, të vendosura nga qeveria, që nuk ekzistojnë në datën kur është lidhur marrëveshja;</w:t>
      </w:r>
    </w:p>
    <w:p w14:paraId="207D675B"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5F2E295" w14:textId="77777777" w:rsidR="00752448" w:rsidRPr="002E7011" w:rsidRDefault="00752448" w:rsidP="00752448">
      <w:pPr>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t>ndryshimi i tatimit ose taksës ekzistuese, tarifës ose detyrimeve të tjera financiare të vendosura nga qeveria në mënyrë diskriminuese; ose</w:t>
      </w:r>
    </w:p>
    <w:p w14:paraId="51EB1D68"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3D41039"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c)      ndryshim në dëmin material të mbajtësit të së drejtës, nga:</w:t>
      </w:r>
    </w:p>
    <w:p w14:paraId="397F34B2"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0157045" w14:textId="77777777" w:rsidR="00752448" w:rsidRPr="002E7011" w:rsidRDefault="00752448" w:rsidP="00752448">
      <w:pPr>
        <w:spacing w:after="0"/>
        <w:ind w:left="1134"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i) </w:t>
      </w:r>
      <w:r w:rsidRPr="002E7011">
        <w:rPr>
          <w:rFonts w:ascii="Times New Roman" w:eastAsia="Calibri" w:hAnsi="Times New Roman" w:cs="Times New Roman"/>
          <w:sz w:val="24"/>
          <w:szCs w:val="24"/>
          <w:lang w:val="sq-AL"/>
        </w:rPr>
        <w:tab/>
        <w:t>renta minerare, norma e tatimit mbi fitimin dhe tatimit në burim si dhe tarifat mbi</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importin e mallrave ose shërbimeve; ose</w:t>
      </w:r>
    </w:p>
    <w:p w14:paraId="3180FE94"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CB342BE" w14:textId="77777777" w:rsidR="00752448" w:rsidRPr="002E7011" w:rsidRDefault="00752448" w:rsidP="00752448">
      <w:pPr>
        <w:spacing w:after="0"/>
        <w:ind w:left="1134"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 xml:space="preserve">ii) </w:t>
      </w:r>
      <w:r w:rsidRPr="002E7011">
        <w:rPr>
          <w:rFonts w:ascii="Times New Roman" w:eastAsia="Calibri" w:hAnsi="Times New Roman" w:cs="Times New Roman"/>
          <w:sz w:val="24"/>
          <w:szCs w:val="24"/>
          <w:lang w:val="sq-AL"/>
        </w:rPr>
        <w:tab/>
        <w:t>veçoritë strukturore dhe metodologjia për llogaritjen e bazës mbi të cilën vendosen detyrimet e referuara në nënparagrafin i), duke përfshirë rregullat për zbritjen e shpenzimeve dhe humbjeve.</w:t>
      </w:r>
    </w:p>
    <w:p w14:paraId="441437BC"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6AAF06D"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2) </w:t>
      </w:r>
      <w:r w:rsidRPr="002E7011">
        <w:rPr>
          <w:rFonts w:ascii="Times New Roman" w:eastAsia="Calibri" w:hAnsi="Times New Roman" w:cs="Times New Roman"/>
          <w:sz w:val="24"/>
          <w:szCs w:val="24"/>
          <w:lang w:val="sq-AL"/>
        </w:rPr>
        <w:tab/>
        <w:t xml:space="preserve">Një klauzolë e stabilitetit të regjimit fiskal (ose ndryshim në të) që përfshin mbrojtjen sipas paragrafit 1) (c)  pushon së qëni një klauzolë e miratuar e stabilitetit të regjimit fiskal, dymbëdhjetë vjet pas miratimit të parë, të një </w:t>
      </w:r>
      <w:r w:rsidRPr="001853AA">
        <w:rPr>
          <w:rFonts w:ascii="Times New Roman" w:eastAsia="Calibri" w:hAnsi="Times New Roman" w:cs="Times New Roman"/>
          <w:sz w:val="24"/>
          <w:szCs w:val="24"/>
          <w:lang w:val="sq-AL"/>
        </w:rPr>
        <w:t>zone zhvillimi</w:t>
      </w:r>
      <w:r w:rsidRPr="002E7011">
        <w:rPr>
          <w:rFonts w:ascii="Times New Roman" w:eastAsia="Calibri" w:hAnsi="Times New Roman" w:cs="Times New Roman"/>
          <w:sz w:val="24"/>
          <w:szCs w:val="24"/>
          <w:lang w:val="sq-AL"/>
        </w:rPr>
        <w:t xml:space="preserve"> sipas marrëveshjes hidrokarbure. Ky rregull nuk zbatohet nëse klauzola është shtyrë nga marrëveshje të mëvonshme.</w:t>
      </w:r>
    </w:p>
    <w:p w14:paraId="76D66A39"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AB60ABD"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3)      Një "klauzolë e stabilitetit të regjimit fiskal" është një klauzolë në marrëveshjen hidrokarbure që garanton që regjimi fiskal që zbatohet për personin e autorizuar për të kryer operacione hidrokarbure, do të vazhdojë të zbatohet ose të mos ndryshohet në dëm të personit.</w:t>
      </w:r>
    </w:p>
    <w:p w14:paraId="54C6BC37"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72F75BA"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19</w:t>
      </w:r>
    </w:p>
    <w:p w14:paraId="22C4420E"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Lehtësimi nga taksat vendore dhe taksat e tjera</w:t>
      </w:r>
    </w:p>
    <w:p w14:paraId="5E26D2A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26B1F2A"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Njësitë e vetëqeverisjes vendore duhet </w:t>
      </w:r>
      <w:r>
        <w:rPr>
          <w:rFonts w:ascii="Times New Roman" w:eastAsia="Calibri" w:hAnsi="Times New Roman" w:cs="Times New Roman"/>
          <w:sz w:val="24"/>
          <w:szCs w:val="24"/>
          <w:lang w:val="sq-AL"/>
        </w:rPr>
        <w:t>të zbatojnë lehtësim nga taksat/</w:t>
      </w:r>
      <w:r w:rsidRPr="001853AA">
        <w:rPr>
          <w:rFonts w:ascii="Times New Roman" w:eastAsia="Calibri" w:hAnsi="Times New Roman" w:cs="Times New Roman"/>
          <w:sz w:val="24"/>
          <w:szCs w:val="24"/>
          <w:lang w:val="sq-AL"/>
        </w:rPr>
        <w:t>tarifat</w:t>
      </w:r>
      <w:r w:rsidRPr="002E7011">
        <w:rPr>
          <w:rFonts w:ascii="Times New Roman" w:eastAsia="Calibri" w:hAnsi="Times New Roman" w:cs="Times New Roman"/>
          <w:sz w:val="24"/>
          <w:szCs w:val="24"/>
          <w:lang w:val="sq-AL"/>
        </w:rPr>
        <w:t xml:space="preserve"> vendore të parashikuara nga marrëveshja hidrokarbure.</w:t>
      </w:r>
    </w:p>
    <w:p w14:paraId="32975C56"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73BE0D0E"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5D07CCAB" w14:textId="2F605B9B" w:rsidR="00752448"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20</w:t>
      </w:r>
    </w:p>
    <w:p w14:paraId="0F439C42"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Shmangia e përfitimeve të dyfishta nga marrëveshjet hidrokarbure</w:t>
      </w:r>
    </w:p>
    <w:p w14:paraId="2FCE452D" w14:textId="77777777" w:rsidR="00752448" w:rsidRPr="002E7011" w:rsidRDefault="00752448" w:rsidP="00752448">
      <w:pPr>
        <w:spacing w:after="0"/>
        <w:jc w:val="center"/>
        <w:rPr>
          <w:rFonts w:ascii="Times New Roman" w:eastAsia="Calibri" w:hAnsi="Times New Roman" w:cs="Times New Roman"/>
          <w:sz w:val="24"/>
          <w:szCs w:val="24"/>
          <w:lang w:val="sq-AL"/>
        </w:rPr>
      </w:pPr>
    </w:p>
    <w:p w14:paraId="1740A7D7"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1) </w:t>
      </w:r>
      <w:r w:rsidRPr="002E7011">
        <w:rPr>
          <w:rFonts w:ascii="Times New Roman" w:eastAsia="Calibri" w:hAnsi="Times New Roman" w:cs="Times New Roman"/>
          <w:sz w:val="24"/>
          <w:szCs w:val="24"/>
          <w:lang w:val="sq-AL"/>
        </w:rPr>
        <w:tab/>
        <w:t xml:space="preserve">Një palë në një marrëveshje hidrokarbure nuk mund të pretendojë njëkohësisht: </w:t>
      </w:r>
    </w:p>
    <w:p w14:paraId="2673AA70"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3E5E6188" w14:textId="77777777" w:rsidR="00752448" w:rsidRPr="002E7011" w:rsidRDefault="00752448" w:rsidP="00752448">
      <w:pPr>
        <w:autoSpaceDE w:val="0"/>
        <w:autoSpaceDN w:val="0"/>
        <w:adjustRightInd w:val="0"/>
        <w:spacing w:after="0"/>
        <w:ind w:left="1134"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 xml:space="preserve">një trajtim të ndryshuar ose të mbrojtur sipas marrëveshjes në lidhje me </w:t>
      </w:r>
      <w:r w:rsidRPr="00E63377">
        <w:rPr>
          <w:rFonts w:ascii="Times New Roman" w:eastAsia="Calibri" w:hAnsi="Times New Roman" w:cs="Times New Roman"/>
          <w:sz w:val="24"/>
          <w:szCs w:val="24"/>
          <w:lang w:val="sq-AL"/>
        </w:rPr>
        <w:t>ligjet e të ardhurave;</w:t>
      </w:r>
      <w:r w:rsidRPr="002E7011">
        <w:rPr>
          <w:rFonts w:ascii="Times New Roman" w:eastAsia="Calibri" w:hAnsi="Times New Roman" w:cs="Times New Roman"/>
          <w:sz w:val="24"/>
          <w:szCs w:val="24"/>
          <w:lang w:val="sq-AL"/>
        </w:rPr>
        <w:t xml:space="preserve"> dhe</w:t>
      </w:r>
    </w:p>
    <w:p w14:paraId="45D065E3"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66E19A3E" w14:textId="77777777" w:rsidR="00752448" w:rsidRPr="002E7011" w:rsidRDefault="00752448" w:rsidP="00752448">
      <w:pPr>
        <w:autoSpaceDE w:val="0"/>
        <w:autoSpaceDN w:val="0"/>
        <w:adjustRightInd w:val="0"/>
        <w:spacing w:after="0"/>
        <w:ind w:left="1134"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w:t>
      </w:r>
      <w:r w:rsidRPr="002E7011">
        <w:rPr>
          <w:rFonts w:ascii="Times New Roman" w:eastAsia="Calibri" w:hAnsi="Times New Roman" w:cs="Times New Roman"/>
          <w:sz w:val="24"/>
          <w:szCs w:val="24"/>
          <w:lang w:val="sq-AL"/>
        </w:rPr>
        <w:tab/>
        <w:t xml:space="preserve"> në të njëjtën kohë,</w:t>
      </w:r>
      <w:r>
        <w:rPr>
          <w:rFonts w:ascii="Times New Roman" w:eastAsia="Calibri" w:hAnsi="Times New Roman" w:cs="Times New Roman"/>
          <w:sz w:val="24"/>
          <w:szCs w:val="24"/>
          <w:lang w:val="sq-AL"/>
        </w:rPr>
        <w:t xml:space="preserve"> përfitimet nga ndryshimet në l</w:t>
      </w:r>
      <w:r w:rsidRPr="002E7011">
        <w:rPr>
          <w:rFonts w:ascii="Times New Roman" w:eastAsia="Calibri" w:hAnsi="Times New Roman" w:cs="Times New Roman"/>
          <w:sz w:val="24"/>
          <w:szCs w:val="24"/>
          <w:lang w:val="sq-AL"/>
        </w:rPr>
        <w:t>igjet e të ardhurave që ndodhin pas lidhjes së marrëveshjes.</w:t>
      </w:r>
    </w:p>
    <w:p w14:paraId="77E72220"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9150B26"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2) </w:t>
      </w:r>
      <w:r w:rsidRPr="002E7011">
        <w:rPr>
          <w:rFonts w:ascii="Times New Roman" w:eastAsia="Calibri" w:hAnsi="Times New Roman" w:cs="Times New Roman"/>
          <w:sz w:val="24"/>
          <w:szCs w:val="24"/>
          <w:lang w:val="sq-AL"/>
        </w:rPr>
        <w:tab/>
        <w:t>Kur në përputhje me nenin 17 të këtij ligji, një marrëveshje hidroka</w:t>
      </w:r>
      <w:r>
        <w:rPr>
          <w:rFonts w:ascii="Times New Roman" w:eastAsia="Calibri" w:hAnsi="Times New Roman" w:cs="Times New Roman"/>
          <w:sz w:val="24"/>
          <w:szCs w:val="24"/>
          <w:lang w:val="sq-AL"/>
        </w:rPr>
        <w:t>rbure ndryshon ose mbron ligjin</w:t>
      </w:r>
      <w:r w:rsidRPr="002E7011">
        <w:rPr>
          <w:rFonts w:ascii="Times New Roman" w:eastAsia="Calibri" w:hAnsi="Times New Roman" w:cs="Times New Roman"/>
          <w:sz w:val="24"/>
          <w:szCs w:val="24"/>
          <w:lang w:val="sq-AL"/>
        </w:rPr>
        <w:t xml:space="preserve"> mbi të ardhurat siç zbatohet ndaj një personi, dispozitat e ligjit të vjetër të të ardhurave, i ndryshuar ose i mbrojtur nga marrëveshja, vazhdojnë të zbatohen deri në datën më të hershme të:</w:t>
      </w:r>
    </w:p>
    <w:p w14:paraId="3759B5CE"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07A06333"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fundit të marrëveshjes ose klauzolës përkatëse në marrëveshje;</w:t>
      </w:r>
    </w:p>
    <w:p w14:paraId="2F0A5A52"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3B37B782"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 xml:space="preserve">b) </w:t>
      </w:r>
      <w:r w:rsidRPr="002E7011">
        <w:rPr>
          <w:rFonts w:ascii="Times New Roman" w:eastAsia="Calibri" w:hAnsi="Times New Roman" w:cs="Times New Roman"/>
          <w:sz w:val="24"/>
          <w:szCs w:val="24"/>
          <w:lang w:val="sq-AL"/>
        </w:rPr>
        <w:tab/>
        <w:t>në rastin e një marrëveshjeje të lidhur para hyrjes në fuqi të këtij ligji, amendimi i parë i trajtimit të ndryshuar ose të mbrojtur në marrëveshje pas fillimit të këtij ligji; ose</w:t>
      </w:r>
    </w:p>
    <w:p w14:paraId="6387C726"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6AEFDD3C"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c) </w:t>
      </w:r>
      <w:r w:rsidRPr="002E7011">
        <w:rPr>
          <w:rFonts w:ascii="Times New Roman" w:eastAsia="Calibri" w:hAnsi="Times New Roman" w:cs="Times New Roman"/>
          <w:sz w:val="24"/>
          <w:szCs w:val="24"/>
          <w:lang w:val="sq-AL"/>
        </w:rPr>
        <w:tab/>
        <w:t>heqjes dorë nga personi mbi të drejtën  për trajtim të ndryshuar dhe të mbrojtur.</w:t>
      </w:r>
    </w:p>
    <w:p w14:paraId="0F073E3C"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23EB4BF4"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3) </w:t>
      </w:r>
      <w:r w:rsidRPr="002E7011">
        <w:rPr>
          <w:rFonts w:ascii="Times New Roman" w:eastAsia="Calibri" w:hAnsi="Times New Roman" w:cs="Times New Roman"/>
          <w:sz w:val="24"/>
          <w:szCs w:val="24"/>
          <w:lang w:val="sq-AL"/>
        </w:rPr>
        <w:tab/>
        <w:t xml:space="preserve">Në llogaritjen e një </w:t>
      </w:r>
      <w:r w:rsidRPr="008B7876">
        <w:rPr>
          <w:rFonts w:ascii="Times New Roman" w:eastAsia="Calibri" w:hAnsi="Times New Roman" w:cs="Times New Roman"/>
          <w:sz w:val="24"/>
          <w:szCs w:val="24"/>
          <w:lang w:val="sq-AL"/>
        </w:rPr>
        <w:t>detyrimi mbi të ardhurat</w:t>
      </w:r>
      <w:r w:rsidRPr="002E7011">
        <w:rPr>
          <w:rFonts w:ascii="Times New Roman" w:eastAsia="Calibri" w:hAnsi="Times New Roman" w:cs="Times New Roman"/>
          <w:sz w:val="24"/>
          <w:szCs w:val="24"/>
          <w:lang w:val="sq-AL"/>
        </w:rPr>
        <w:t xml:space="preserve"> të personit gjatë periudhës së zbatimit të referuar në paragrafin 2), administrata tatimore, me kompetencat e saj, mund</w:t>
      </w:r>
      <w:r>
        <w:rPr>
          <w:rFonts w:ascii="Times New Roman" w:eastAsia="Calibri" w:hAnsi="Times New Roman" w:cs="Times New Roman"/>
          <w:sz w:val="24"/>
          <w:szCs w:val="24"/>
          <w:lang w:val="sq-AL"/>
        </w:rPr>
        <w:t>-</w:t>
      </w:r>
    </w:p>
    <w:p w14:paraId="14CDA669"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3075CAA9"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të vazhdojë të zbatojë dispozitat e tjera të ligjit të vjetër të të ardhurave (pavarësisht nëse dispozitat ose ligji janë shfuqizuar ose ndryshuar) që administrata tatimore i konsideron të lidhura me ose që  që janë të zbatueshme si rrjedhojë e dispozitav</w:t>
      </w:r>
      <w:r>
        <w:rPr>
          <w:rFonts w:ascii="Times New Roman" w:eastAsia="Calibri" w:hAnsi="Times New Roman" w:cs="Times New Roman"/>
          <w:sz w:val="24"/>
          <w:szCs w:val="24"/>
          <w:lang w:val="sq-AL"/>
        </w:rPr>
        <w:t>e të përmendura në paragrafin 2</w:t>
      </w:r>
      <w:r w:rsidRPr="002E7011">
        <w:rPr>
          <w:rFonts w:ascii="Times New Roman" w:eastAsia="Calibri" w:hAnsi="Times New Roman" w:cs="Times New Roman"/>
          <w:sz w:val="24"/>
          <w:szCs w:val="24"/>
          <w:lang w:val="sq-AL"/>
        </w:rPr>
        <w:t>)</w:t>
      </w:r>
      <w:r>
        <w:rPr>
          <w:rFonts w:ascii="Times New Roman" w:eastAsia="Calibri" w:hAnsi="Times New Roman" w:cs="Times New Roman"/>
          <w:sz w:val="24"/>
          <w:szCs w:val="24"/>
          <w:lang w:val="sq-AL"/>
        </w:rPr>
        <w:t>;</w:t>
      </w:r>
      <w:r w:rsidRPr="002E7011">
        <w:rPr>
          <w:rFonts w:ascii="Times New Roman" w:eastAsia="Calibri" w:hAnsi="Times New Roman" w:cs="Times New Roman"/>
          <w:sz w:val="24"/>
          <w:szCs w:val="24"/>
          <w:lang w:val="sq-AL"/>
        </w:rPr>
        <w:t xml:space="preserve"> dhe</w:t>
      </w:r>
    </w:p>
    <w:p w14:paraId="31EC77EF"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p>
    <w:p w14:paraId="57C1CAB0"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w:t>
      </w:r>
      <w:r w:rsidRPr="002E7011">
        <w:rPr>
          <w:rFonts w:ascii="Times New Roman" w:eastAsia="Calibri" w:hAnsi="Times New Roman" w:cs="Times New Roman"/>
          <w:sz w:val="24"/>
          <w:szCs w:val="24"/>
          <w:lang w:val="sq-AL"/>
        </w:rPr>
        <w:tab/>
        <w:t xml:space="preserve"> të mos zbatojë asnjë dispozitë të re ose të ndryshuar</w:t>
      </w:r>
      <w:r>
        <w:rPr>
          <w:rFonts w:ascii="Times New Roman" w:eastAsia="Calibri" w:hAnsi="Times New Roman" w:cs="Times New Roman"/>
          <w:sz w:val="24"/>
          <w:szCs w:val="24"/>
          <w:lang w:val="sq-AL"/>
        </w:rPr>
        <w:t xml:space="preserve"> të ligjit të të ardhurave </w:t>
      </w:r>
      <w:r w:rsidRPr="002E7011">
        <w:rPr>
          <w:rFonts w:ascii="Times New Roman" w:eastAsia="Calibri" w:hAnsi="Times New Roman" w:cs="Times New Roman"/>
          <w:sz w:val="24"/>
          <w:szCs w:val="24"/>
          <w:lang w:val="sq-AL"/>
        </w:rPr>
        <w:t>që administrata tatimore konsideron se-</w:t>
      </w:r>
    </w:p>
    <w:p w14:paraId="4089AAFD"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C7178B5" w14:textId="77777777" w:rsidR="00752448" w:rsidRPr="002E7011" w:rsidRDefault="00752448" w:rsidP="00752448">
      <w:pPr>
        <w:numPr>
          <w:ilvl w:val="0"/>
          <w:numId w:val="19"/>
        </w:numPr>
        <w:autoSpaceDE w:val="0"/>
        <w:autoSpaceDN w:val="0"/>
        <w:adjustRightInd w:val="0"/>
        <w:spacing w:after="0"/>
        <w:contextualSpacing/>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 korrespondojnë me dispozitat e referuara në nënparagrafin a); ose</w:t>
      </w:r>
    </w:p>
    <w:p w14:paraId="2830BEED"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11957A5" w14:textId="77777777" w:rsidR="00752448" w:rsidRPr="002E7011" w:rsidRDefault="00752448" w:rsidP="00752448">
      <w:pPr>
        <w:autoSpaceDE w:val="0"/>
        <w:autoSpaceDN w:val="0"/>
        <w:adjustRightInd w:val="0"/>
        <w:spacing w:after="0"/>
        <w:ind w:firstLine="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 xml:space="preserve">ii) </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nuk kanë dispozitë korresponduese në ligjin e vjetër të të ardhurave.</w:t>
      </w:r>
    </w:p>
    <w:p w14:paraId="74445511"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C805E64"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4) </w:t>
      </w:r>
      <w:r w:rsidRPr="002E7011">
        <w:rPr>
          <w:rFonts w:ascii="Times New Roman" w:eastAsia="Calibri" w:hAnsi="Times New Roman" w:cs="Times New Roman"/>
          <w:sz w:val="24"/>
          <w:szCs w:val="24"/>
          <w:lang w:val="sq-AL"/>
        </w:rPr>
        <w:tab/>
        <w:t>"Ligji i vjetër për të Ardhurat</w:t>
      </w:r>
      <w:r w:rsidRPr="002E7011" w:rsidDel="00011737">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w:t>
      </w:r>
    </w:p>
    <w:p w14:paraId="63B20DD9"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40CA30D9" w14:textId="68D5BD9C" w:rsidR="00752448" w:rsidRPr="002E7011" w:rsidRDefault="00752448" w:rsidP="00752448">
      <w:pPr>
        <w:autoSpaceDE w:val="0"/>
        <w:autoSpaceDN w:val="0"/>
        <w:adjustRightInd w:val="0"/>
        <w:spacing w:after="0"/>
        <w:ind w:left="630" w:hanging="63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w:t>
      </w:r>
      <w:r w:rsidRPr="002E7011">
        <w:rPr>
          <w:rFonts w:ascii="Times New Roman" w:eastAsia="Calibri" w:hAnsi="Times New Roman" w:cs="Times New Roman"/>
          <w:sz w:val="24"/>
          <w:szCs w:val="24"/>
          <w:lang w:val="sq-AL"/>
        </w:rPr>
        <w:tab/>
        <w:t>nënkupton ligjin e të ardhurave, të zbatueshëm në kohën e ndryshimit të parë ose të mbrojtur të tij, nga një marrëveshje hidrokarbure, siç referohet në paragrafin 2)</w:t>
      </w:r>
      <w:r w:rsidR="00E63377">
        <w:rPr>
          <w:rFonts w:ascii="Times New Roman" w:eastAsia="Calibri" w:hAnsi="Times New Roman" w:cs="Times New Roman"/>
          <w:sz w:val="24"/>
          <w:szCs w:val="24"/>
          <w:lang w:val="sq-AL"/>
        </w:rPr>
        <w:t>;</w:t>
      </w:r>
      <w:r w:rsidRPr="002E7011">
        <w:rPr>
          <w:rFonts w:ascii="Times New Roman" w:eastAsia="Calibri" w:hAnsi="Times New Roman" w:cs="Times New Roman"/>
          <w:sz w:val="24"/>
          <w:szCs w:val="24"/>
          <w:lang w:val="sq-AL"/>
        </w:rPr>
        <w:t xml:space="preserve"> dhe</w:t>
      </w:r>
    </w:p>
    <w:p w14:paraId="27C0C7B4"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29BA1A2F" w14:textId="780C0114"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r>
      <w:r w:rsidRPr="009E2CAA">
        <w:rPr>
          <w:rFonts w:ascii="Times New Roman" w:eastAsia="Calibri" w:hAnsi="Times New Roman" w:cs="Times New Roman"/>
          <w:sz w:val="24"/>
          <w:szCs w:val="24"/>
          <w:lang w:val="sq-AL"/>
        </w:rPr>
        <w:t>në një rast të përshtatshëm</w:t>
      </w:r>
      <w:r>
        <w:rPr>
          <w:rFonts w:ascii="Times New Roman" w:eastAsia="Calibri" w:hAnsi="Times New Roman" w:cs="Times New Roman"/>
          <w:sz w:val="24"/>
          <w:szCs w:val="24"/>
          <w:lang w:val="sq-AL"/>
        </w:rPr>
        <w:t>, përfshin nj</w:t>
      </w:r>
      <w:r w:rsidR="00E63377">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ligj</w:t>
      </w:r>
      <w:r w:rsidRPr="002E7011">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të ardhurash</w:t>
      </w:r>
      <w:r w:rsidRPr="002E7011">
        <w:rPr>
          <w:rFonts w:ascii="Times New Roman" w:eastAsia="Calibri" w:hAnsi="Times New Roman" w:cs="Times New Roman"/>
          <w:sz w:val="24"/>
          <w:szCs w:val="24"/>
          <w:lang w:val="sq-AL"/>
        </w:rPr>
        <w:t xml:space="preserve"> edhe nëse është shfuqizuar.</w:t>
      </w:r>
    </w:p>
    <w:p w14:paraId="638B5616"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1EA70E18" w14:textId="77777777" w:rsidR="00752448" w:rsidRDefault="00752448" w:rsidP="00752448">
      <w:pPr>
        <w:autoSpaceDE w:val="0"/>
        <w:autoSpaceDN w:val="0"/>
        <w:adjustRightInd w:val="0"/>
        <w:spacing w:after="0"/>
        <w:jc w:val="center"/>
        <w:rPr>
          <w:rFonts w:ascii="Times New Roman" w:eastAsia="Calibri" w:hAnsi="Times New Roman" w:cs="Times New Roman"/>
          <w:b/>
          <w:sz w:val="24"/>
          <w:szCs w:val="24"/>
          <w:lang w:val="sq-AL"/>
        </w:rPr>
      </w:pPr>
    </w:p>
    <w:p w14:paraId="73728219" w14:textId="77777777" w:rsidR="00752448" w:rsidRPr="002E7011" w:rsidRDefault="00752448" w:rsidP="00752448">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KAPITULLI V</w:t>
      </w:r>
    </w:p>
    <w:p w14:paraId="0AF5FFCF" w14:textId="77777777" w:rsidR="00752448" w:rsidRPr="002E7011" w:rsidRDefault="00752448" w:rsidP="00752448">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ADMINISTRIMI</w:t>
      </w:r>
    </w:p>
    <w:p w14:paraId="1A634C18" w14:textId="77777777" w:rsidR="00752448" w:rsidRPr="002E7011" w:rsidRDefault="00752448" w:rsidP="00752448">
      <w:pPr>
        <w:spacing w:after="0"/>
        <w:jc w:val="center"/>
        <w:rPr>
          <w:rFonts w:ascii="Times New Roman" w:eastAsia="Calibri" w:hAnsi="Times New Roman" w:cs="Times New Roman"/>
          <w:sz w:val="24"/>
          <w:szCs w:val="24"/>
          <w:lang w:val="sq-AL"/>
        </w:rPr>
      </w:pPr>
    </w:p>
    <w:p w14:paraId="6E6AE86B" w14:textId="77777777" w:rsidR="00752448" w:rsidRPr="002E7011" w:rsidRDefault="00752448" w:rsidP="00752448">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21</w:t>
      </w:r>
    </w:p>
    <w:p w14:paraId="16633773" w14:textId="77777777" w:rsidR="00752448" w:rsidRPr="002E7011" w:rsidRDefault="00752448" w:rsidP="00752448">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Llogaritë dhe pagimi i detyrimeve tatimore në monedhën vendase</w:t>
      </w:r>
    </w:p>
    <w:p w14:paraId="775303E0"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46C8A50E"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Personat që kryejnë operacione hidrokarbure duhet të mbajnë llogaritë e tyre dhe të paguajnë detyrimet e tyre tatimore në monedhën vendase, siç parashikohet me ligjin nr. 9920, datë </w:t>
      </w:r>
      <w:r w:rsidRPr="002E7011">
        <w:rPr>
          <w:rFonts w:ascii="Times New Roman" w:eastAsia="Calibri" w:hAnsi="Times New Roman" w:cs="Times New Roman"/>
          <w:sz w:val="24"/>
          <w:szCs w:val="24"/>
          <w:lang w:val="sq-AL"/>
        </w:rPr>
        <w:lastRenderedPageBreak/>
        <w:t>19.05.2008 "Për procedurat tatimore në Republikën e Shqipërisë", të ndryshuar.</w:t>
      </w:r>
    </w:p>
    <w:p w14:paraId="1A70ED85"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954BC36" w14:textId="77777777" w:rsidR="00752448" w:rsidRPr="002E7011" w:rsidRDefault="00752448" w:rsidP="008A40E6">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22</w:t>
      </w:r>
    </w:p>
    <w:p w14:paraId="42C56CF6" w14:textId="77777777" w:rsidR="00752448" w:rsidRPr="002E7011" w:rsidRDefault="00752448" w:rsidP="008A40E6">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Deklarata tatimore dhe pagesa e rentes minerare</w:t>
      </w:r>
    </w:p>
    <w:p w14:paraId="2AF1F142" w14:textId="77777777" w:rsidR="00752448" w:rsidRPr="002E7011" w:rsidRDefault="00752448" w:rsidP="008A40E6">
      <w:pPr>
        <w:autoSpaceDE w:val="0"/>
        <w:autoSpaceDN w:val="0"/>
        <w:adjustRightInd w:val="0"/>
        <w:spacing w:after="0"/>
        <w:jc w:val="center"/>
        <w:rPr>
          <w:rFonts w:ascii="Times New Roman" w:eastAsia="Calibri" w:hAnsi="Times New Roman" w:cs="Times New Roman"/>
          <w:sz w:val="24"/>
          <w:szCs w:val="24"/>
          <w:lang w:val="sq-AL"/>
        </w:rPr>
      </w:pPr>
    </w:p>
    <w:p w14:paraId="1EC14D4A"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      Renta minerare në lidhje me hidrokarburin e nxjerrë gjatë një muaji kalendarik duhet të paguhet nga mbajtësi i të drejtës hidrokarbure brenda datës 15-të të muajit të ardhshëm kalendarik.</w:t>
      </w:r>
    </w:p>
    <w:p w14:paraId="78BEE154"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4DD73E5D"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Në çdo rast kur paguhet renta minerare, mbajtësi i të drejtës hidrokarbure duhet të paraqesë pranë administratës tatimore një deklarate tatimore të rentës minerare.</w:t>
      </w:r>
    </w:p>
    <w:p w14:paraId="55805086"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369DFD3F"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3)    Deklarata tatimore e e rentës minerare duhet t'i dorëzohet administratës tatimore në mënyrën dhe formën e përcaktuar në udhëzimin e ministrit përgjegjës për financat. Deklarata tatimore duhet të përcaktojë:</w:t>
      </w:r>
    </w:p>
    <w:p w14:paraId="6609282F"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8578C29"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sasinë e hidrokarburit mbi të cilin llogaritet renta minerare;</w:t>
      </w:r>
    </w:p>
    <w:p w14:paraId="21A8C8C1"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32A4F01"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t>vlerën e tregut të hidrokarburit të llogaritur sipas nenit 6 të këtij Ligji;</w:t>
      </w:r>
    </w:p>
    <w:p w14:paraId="6925D0B9"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6AC5309B"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 xml:space="preserve">c) </w:t>
      </w:r>
      <w:r w:rsidRPr="002E7011">
        <w:rPr>
          <w:rFonts w:ascii="Times New Roman" w:eastAsia="Calibri" w:hAnsi="Times New Roman" w:cs="Times New Roman"/>
          <w:sz w:val="24"/>
          <w:szCs w:val="24"/>
          <w:lang w:val="sq-AL"/>
        </w:rPr>
        <w:tab/>
        <w:t>vlerën e rentës minerare që duhet të paguajë personi; dhe</w:t>
      </w:r>
    </w:p>
    <w:p w14:paraId="29E69DA0"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F39CB95"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d)</w:t>
      </w:r>
      <w:r w:rsidRPr="002E7011">
        <w:rPr>
          <w:rFonts w:ascii="Times New Roman" w:eastAsia="Calibri" w:hAnsi="Times New Roman" w:cs="Times New Roman"/>
          <w:sz w:val="24"/>
          <w:szCs w:val="24"/>
          <w:lang w:val="sq-AL"/>
        </w:rPr>
        <w:tab/>
        <w:t xml:space="preserve"> çdo informacion tjetër që kërkohet nga udhëzimi i Ministrit.</w:t>
      </w:r>
    </w:p>
    <w:p w14:paraId="3743DF68"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41DE6F2C" w14:textId="77777777" w:rsidR="00752448" w:rsidRPr="002E7011" w:rsidRDefault="00752448" w:rsidP="00752448">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23</w:t>
      </w:r>
    </w:p>
    <w:p w14:paraId="0D5BD563" w14:textId="77777777" w:rsidR="00752448" w:rsidRPr="002E7011" w:rsidRDefault="00752448" w:rsidP="00752448">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Deklarata tatimore dhe pagimi i tatimit mbi fitimin për operacionet hidrokarbure</w:t>
      </w:r>
    </w:p>
    <w:p w14:paraId="1715E7BF"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3E684761"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        Një person që kryen operacione hidrokarbure duhet të paraqesë një deklaratë tatimore për operacionet hidrokarbure të kryera nga personi dhe një tjetër për operacionet jo hidrokarbure. Deklarata tatimore për operacionet hidrokarbure duhet të raportojë fitimet e tatueshme veçmas për çdo operacion të veçantë hidrokarbur. Neni 29 i Ligjit nr. 8438, datë 28.12.1998 "Për tatimin mbi të ardhurat", i ndryshuar, zbatohet për deklaratat tatimore për operacionet hidrokarbure dhe jo hidrokarbure.</w:t>
      </w:r>
    </w:p>
    <w:p w14:paraId="41872888"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92AD081"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Sistemi i kësteve i parashikuar me nenin 30 të Ligjit nr. 8438, datë 28.12.1998 "Për tatimin mbi të ardhurat", i ndryshuar, zbatohet për pagesën e tatimit mbi fitimin për sa i përket operacioneve hidrokarbure dhe jo hidrokarbure.</w:t>
      </w:r>
    </w:p>
    <w:p w14:paraId="7A8DE2AA"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303D9310" w14:textId="77777777" w:rsidR="00752448" w:rsidRPr="002E7011" w:rsidRDefault="00752448" w:rsidP="00752448">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24</w:t>
      </w:r>
    </w:p>
    <w:p w14:paraId="453F97AA" w14:textId="77777777" w:rsidR="00752448" w:rsidRPr="002E7011" w:rsidRDefault="00752448" w:rsidP="00752448">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Marrëdhënia me Ligjin për Procedurat Tatimore</w:t>
      </w:r>
    </w:p>
    <w:p w14:paraId="33AA4035" w14:textId="77777777" w:rsidR="00752448" w:rsidRPr="002E7011" w:rsidRDefault="00752448" w:rsidP="00752448">
      <w:pPr>
        <w:autoSpaceDE w:val="0"/>
        <w:autoSpaceDN w:val="0"/>
        <w:adjustRightInd w:val="0"/>
        <w:spacing w:after="0"/>
        <w:jc w:val="center"/>
        <w:rPr>
          <w:rFonts w:ascii="Times New Roman" w:eastAsia="Calibri" w:hAnsi="Times New Roman" w:cs="Times New Roman"/>
          <w:sz w:val="24"/>
          <w:szCs w:val="24"/>
          <w:lang w:val="sq-AL"/>
        </w:rPr>
      </w:pPr>
    </w:p>
    <w:p w14:paraId="256DF6DD"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1) </w:t>
      </w:r>
      <w:r w:rsidRPr="002E7011">
        <w:rPr>
          <w:rFonts w:ascii="Times New Roman" w:eastAsia="Calibri" w:hAnsi="Times New Roman" w:cs="Times New Roman"/>
          <w:sz w:val="24"/>
          <w:szCs w:val="24"/>
          <w:lang w:val="sq-AL"/>
        </w:rPr>
        <w:tab/>
      </w:r>
      <w:r w:rsidRPr="002250EA">
        <w:rPr>
          <w:rFonts w:ascii="Times New Roman" w:eastAsia="Calibri" w:hAnsi="Times New Roman" w:cs="Times New Roman"/>
          <w:sz w:val="24"/>
          <w:szCs w:val="24"/>
          <w:shd w:val="clear" w:color="auto" w:fill="FFFFFF" w:themeFill="background1"/>
          <w:lang w:val="sq-AL"/>
        </w:rPr>
        <w:t>Procedura e parashikuar</w:t>
      </w:r>
      <w:r w:rsidRPr="002E7011">
        <w:rPr>
          <w:rFonts w:ascii="Times New Roman" w:eastAsia="Calibri" w:hAnsi="Times New Roman" w:cs="Times New Roman"/>
          <w:sz w:val="24"/>
          <w:szCs w:val="24"/>
          <w:lang w:val="sq-AL"/>
        </w:rPr>
        <w:t xml:space="preserve"> me Ligjin nr. 9920, datë 19.05.2008 "Për procedurat tatimore në Republikën e Shqipërisë", i ndryshuar, zbatohet për administrimin e këtij ligji.</w:t>
      </w:r>
    </w:p>
    <w:p w14:paraId="06A44C50"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68104C3D"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2) </w:t>
      </w:r>
      <w:r w:rsidRPr="002E7011">
        <w:rPr>
          <w:rFonts w:ascii="Times New Roman" w:eastAsia="Calibri" w:hAnsi="Times New Roman" w:cs="Times New Roman"/>
          <w:sz w:val="24"/>
          <w:szCs w:val="24"/>
          <w:lang w:val="sq-AL"/>
        </w:rPr>
        <w:tab/>
        <w:t>Rregulli në paragrafin 1) i nënshtrohet dispozitave të këtij Ligji. Përveç kësaj, nenet 31 dhe 32 të Ligjit nr. 8438, datë 28.12.1998 "Për tatimin mbi të ardhurat", i ndryshuar, zbatohen për shkeljet administrative dhe dënimet në lidhje me këtë Ligj.</w:t>
      </w:r>
    </w:p>
    <w:p w14:paraId="54499C52"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26FEDFAA"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25</w:t>
      </w:r>
    </w:p>
    <w:p w14:paraId="1AD7497D"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Koordinimi me autoritetin rregullator</w:t>
      </w:r>
    </w:p>
    <w:p w14:paraId="502AF3E3" w14:textId="77777777" w:rsidR="00752448" w:rsidRPr="002E7011" w:rsidRDefault="00752448" w:rsidP="00752448">
      <w:pPr>
        <w:spacing w:after="0"/>
        <w:jc w:val="center"/>
        <w:rPr>
          <w:rFonts w:ascii="Times New Roman" w:eastAsia="Calibri" w:hAnsi="Times New Roman" w:cs="Times New Roman"/>
          <w:sz w:val="24"/>
          <w:szCs w:val="24"/>
          <w:lang w:val="sq-AL"/>
        </w:rPr>
      </w:pPr>
    </w:p>
    <w:p w14:paraId="1ADB1D24"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1) </w:t>
      </w:r>
      <w:r w:rsidRPr="002E7011">
        <w:rPr>
          <w:rFonts w:ascii="Times New Roman" w:eastAsia="Calibri" w:hAnsi="Times New Roman" w:cs="Times New Roman"/>
          <w:sz w:val="24"/>
          <w:szCs w:val="24"/>
          <w:lang w:val="sq-AL"/>
        </w:rPr>
        <w:tab/>
        <w:t xml:space="preserve">Në administrimin e këtij ligji, administrata tatimore duhet të punojë në bashkëpunim të ngushtë me autoritetin rregullator. Për këtë qëllim, administrata tatimore dhe autoriteti rregullator mund të ndajnë informacione të tilla që lidhen në mënyrë të </w:t>
      </w:r>
      <w:r w:rsidRPr="002250EA">
        <w:rPr>
          <w:rFonts w:ascii="Times New Roman" w:eastAsia="Calibri" w:hAnsi="Times New Roman" w:cs="Times New Roman"/>
          <w:sz w:val="24"/>
          <w:szCs w:val="24"/>
          <w:lang w:val="sq-AL"/>
        </w:rPr>
        <w:t>parashikueshme</w:t>
      </w:r>
      <w:r w:rsidRPr="002E7011">
        <w:rPr>
          <w:rFonts w:ascii="Times New Roman" w:eastAsia="Calibri" w:hAnsi="Times New Roman" w:cs="Times New Roman"/>
          <w:sz w:val="24"/>
          <w:szCs w:val="24"/>
          <w:lang w:val="sq-AL"/>
        </w:rPr>
        <w:t xml:space="preserve"> me funksionet e tyre përkatëse dhe mund të kryejnë kontrolle të përbashkëta. Kjo nuk lehtëson ose kufizon administratën tatimore në detyrën e saj për mbledhjen e informacionit dhe auditimin e operacioneve hidrokarbure për qëllime të </w:t>
      </w:r>
      <w:r>
        <w:rPr>
          <w:rFonts w:ascii="Times New Roman" w:eastAsia="Calibri" w:hAnsi="Times New Roman" w:cs="Times New Roman"/>
          <w:sz w:val="24"/>
          <w:szCs w:val="24"/>
          <w:lang w:val="sq-AL"/>
        </w:rPr>
        <w:t>një ligji</w:t>
      </w:r>
      <w:r w:rsidRPr="002E7011">
        <w:rPr>
          <w:rFonts w:ascii="Times New Roman" w:eastAsia="Calibri" w:hAnsi="Times New Roman" w:cs="Times New Roman"/>
          <w:sz w:val="24"/>
          <w:szCs w:val="24"/>
          <w:lang w:val="sq-AL"/>
        </w:rPr>
        <w:t xml:space="preserve"> të ardhura</w:t>
      </w:r>
      <w:r>
        <w:rPr>
          <w:rFonts w:ascii="Times New Roman" w:eastAsia="Calibri" w:hAnsi="Times New Roman" w:cs="Times New Roman"/>
          <w:sz w:val="24"/>
          <w:szCs w:val="24"/>
          <w:lang w:val="sq-AL"/>
        </w:rPr>
        <w:t>sh</w:t>
      </w:r>
      <w:r w:rsidRPr="002E7011">
        <w:rPr>
          <w:rFonts w:ascii="Times New Roman" w:eastAsia="Calibri" w:hAnsi="Times New Roman" w:cs="Times New Roman"/>
          <w:sz w:val="24"/>
          <w:szCs w:val="24"/>
          <w:lang w:val="sq-AL"/>
        </w:rPr>
        <w:t>.</w:t>
      </w:r>
    </w:p>
    <w:p w14:paraId="62F9A11A"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1DA65709"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w:t>
      </w:r>
      <w:r w:rsidRPr="002E7011">
        <w:rPr>
          <w:rFonts w:ascii="Times New Roman" w:eastAsia="Calibri" w:hAnsi="Times New Roman" w:cs="Times New Roman"/>
          <w:sz w:val="24"/>
          <w:szCs w:val="24"/>
          <w:lang w:val="sq-AL"/>
        </w:rPr>
        <w:tab/>
        <w:t xml:space="preserve"> Administrata tatimore duhet të marrë  në konsideratë përcaktimet e autoritetit rregullator:</w:t>
      </w:r>
    </w:p>
    <w:p w14:paraId="1165C006"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07847229"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a) </w:t>
      </w:r>
      <w:r w:rsidRPr="002E7011">
        <w:rPr>
          <w:rFonts w:ascii="Times New Roman" w:eastAsia="Calibri" w:hAnsi="Times New Roman" w:cs="Times New Roman"/>
          <w:sz w:val="24"/>
          <w:szCs w:val="24"/>
          <w:lang w:val="sq-AL"/>
        </w:rPr>
        <w:tab/>
        <w:t>nëse një person kryen operacione hidrokarbure;</w:t>
      </w:r>
    </w:p>
    <w:p w14:paraId="7F1C4969"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B393C06"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t>sasitë e hidrokarbureve të nxjerra nga personi që kryen operacione hidrokarbure;</w:t>
      </w:r>
    </w:p>
    <w:p w14:paraId="5DC0AE2F"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43E73297"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c) </w:t>
      </w:r>
      <w:r w:rsidRPr="002E7011">
        <w:rPr>
          <w:rFonts w:ascii="Times New Roman" w:eastAsia="Calibri" w:hAnsi="Times New Roman" w:cs="Times New Roman"/>
          <w:sz w:val="24"/>
          <w:szCs w:val="24"/>
          <w:lang w:val="sq-AL"/>
        </w:rPr>
        <w:tab/>
        <w:t>alokimit të të ardhurave në operacionet hidrokarbure, duke përcaktuar nëse të ardhurat i përkasin një operacioni të veçantë</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 xml:space="preserve">hidrokarbur </w:t>
      </w:r>
      <w:r>
        <w:rPr>
          <w:rFonts w:ascii="Times New Roman" w:eastAsia="Calibri" w:hAnsi="Times New Roman" w:cs="Times New Roman"/>
          <w:sz w:val="24"/>
          <w:szCs w:val="24"/>
          <w:lang w:val="sq-AL"/>
        </w:rPr>
        <w:t>apo një</w:t>
      </w:r>
      <w:r w:rsidRPr="002E7011">
        <w:rPr>
          <w:rFonts w:ascii="Times New Roman" w:eastAsia="Calibri" w:hAnsi="Times New Roman" w:cs="Times New Roman"/>
          <w:sz w:val="24"/>
          <w:szCs w:val="24"/>
          <w:lang w:val="sq-AL"/>
        </w:rPr>
        <w:t xml:space="preserve"> operacioni tjetër;</w:t>
      </w:r>
    </w:p>
    <w:p w14:paraId="178CABD1"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0AA8260E"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d) </w:t>
      </w:r>
      <w:r w:rsidRPr="002E7011">
        <w:rPr>
          <w:rFonts w:ascii="Times New Roman" w:eastAsia="Calibri" w:hAnsi="Times New Roman" w:cs="Times New Roman"/>
          <w:sz w:val="24"/>
          <w:szCs w:val="24"/>
          <w:lang w:val="sq-AL"/>
        </w:rPr>
        <w:tab/>
        <w:t>alokimit të shpenzimeve në operacionet hidrokarbure, duke përcaktuar nëse shpenzimet i përkasin një operacioni të veçantë hidrokarbur ose një operacioni tjetër; dhe</w:t>
      </w:r>
    </w:p>
    <w:p w14:paraId="6FC8923E"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C9F4656"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e) </w:t>
      </w:r>
      <w:r w:rsidRPr="002E7011">
        <w:rPr>
          <w:rFonts w:ascii="Times New Roman" w:eastAsia="Calibri" w:hAnsi="Times New Roman" w:cs="Times New Roman"/>
          <w:sz w:val="24"/>
          <w:szCs w:val="24"/>
          <w:lang w:val="sq-AL"/>
        </w:rPr>
        <w:tab/>
        <w:t>nëse një person shkel kushtet e braktisjes, rehabilitimit dhe  eliminimit, të miratuara nga Ministri përgjegjës për çështjet hidrokarbure.</w:t>
      </w:r>
    </w:p>
    <w:p w14:paraId="055A4E27"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474D9D9"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3)     Administrata tatimore dhe autoriteti rregullator duhet të ruajnë konfidencialitetin e informacionit të përbashkët në përputhje me nenin 25 të Ligjit nr. 9920, datë 19.05.2008 "Për procedurat tatimore në Republikën e Shqipërisë", të ndryshuar.</w:t>
      </w:r>
    </w:p>
    <w:p w14:paraId="41D65610"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56B083F2"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4)      Ky nen zbatohet krahas nenit 86 të Ligjit nr. 9920, datë 19.05.2008 "Për procedurat tatimore në Republikën e Shqipërisë", i ndryshuar.</w:t>
      </w:r>
    </w:p>
    <w:p w14:paraId="4CC2B67A"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64DF3ECF" w14:textId="77777777" w:rsidR="00752448" w:rsidRPr="002E7011" w:rsidRDefault="00752448" w:rsidP="00752448">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26</w:t>
      </w:r>
    </w:p>
    <w:p w14:paraId="637978E4" w14:textId="77777777" w:rsidR="00752448" w:rsidRPr="002E7011" w:rsidRDefault="00752448" w:rsidP="00752448">
      <w:pPr>
        <w:autoSpaceDE w:val="0"/>
        <w:autoSpaceDN w:val="0"/>
        <w:adjustRightInd w:val="0"/>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Parashikimet financiare</w:t>
      </w:r>
    </w:p>
    <w:p w14:paraId="461FC009" w14:textId="77777777" w:rsidR="00752448" w:rsidRPr="002E7011" w:rsidRDefault="00752448" w:rsidP="00752448">
      <w:pPr>
        <w:autoSpaceDE w:val="0"/>
        <w:autoSpaceDN w:val="0"/>
        <w:adjustRightInd w:val="0"/>
        <w:spacing w:after="0"/>
        <w:jc w:val="center"/>
        <w:rPr>
          <w:rFonts w:ascii="Times New Roman" w:eastAsia="Calibri" w:hAnsi="Times New Roman" w:cs="Times New Roman"/>
          <w:sz w:val="24"/>
          <w:szCs w:val="24"/>
          <w:lang w:val="sq-AL"/>
        </w:rPr>
      </w:pPr>
    </w:p>
    <w:p w14:paraId="4B16E0C0"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1)       Një mbajtës i të drejtës hidrokarbure, duhet që:</w:t>
      </w:r>
    </w:p>
    <w:p w14:paraId="47B90A87"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20D5C2A6"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w:t>
      </w:r>
      <w:r w:rsidRPr="002E7011">
        <w:rPr>
          <w:rFonts w:ascii="Times New Roman" w:eastAsia="Calibri" w:hAnsi="Times New Roman" w:cs="Times New Roman"/>
          <w:sz w:val="24"/>
          <w:szCs w:val="24"/>
          <w:lang w:val="sq-AL"/>
        </w:rPr>
        <w:tab/>
        <w:t xml:space="preserve"> në secilin nga rastet e referuara në paragrafin 2) dhe për çdo vit të kohëzgjatjes së parashikuar të së drejtës hidrokarbure(duke përfshirë çdo mundësi për zgjatje), duhet të përgatisë parashikimet për:</w:t>
      </w:r>
    </w:p>
    <w:p w14:paraId="43991978"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6372EF27" w14:textId="77777777" w:rsidR="00752448" w:rsidRPr="002E7011" w:rsidRDefault="00752448" w:rsidP="00752448">
      <w:pPr>
        <w:autoSpaceDE w:val="0"/>
        <w:autoSpaceDN w:val="0"/>
        <w:adjustRightInd w:val="0"/>
        <w:spacing w:after="0"/>
        <w:ind w:left="1134"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i) </w:t>
      </w:r>
      <w:r w:rsidRPr="002E7011">
        <w:rPr>
          <w:rFonts w:ascii="Times New Roman" w:eastAsia="Calibri" w:hAnsi="Times New Roman" w:cs="Times New Roman"/>
          <w:sz w:val="24"/>
          <w:szCs w:val="24"/>
          <w:lang w:val="sq-AL"/>
        </w:rPr>
        <w:tab/>
        <w:t>shumat, burimet, metodat, afatet dhe kushtet e financimit të operacioneve hidrokarbure sipas të drejtës;</w:t>
      </w:r>
    </w:p>
    <w:p w14:paraId="4B4D8DD9"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947A023" w14:textId="77777777" w:rsidR="00752448" w:rsidRPr="002E7011" w:rsidRDefault="00752448" w:rsidP="00752448">
      <w:pPr>
        <w:autoSpaceDE w:val="0"/>
        <w:autoSpaceDN w:val="0"/>
        <w:adjustRightInd w:val="0"/>
        <w:spacing w:after="0"/>
        <w:ind w:left="1134"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ii) </w:t>
      </w:r>
      <w:r w:rsidRPr="002E7011">
        <w:rPr>
          <w:rFonts w:ascii="Times New Roman" w:eastAsia="Calibri" w:hAnsi="Times New Roman" w:cs="Times New Roman"/>
          <w:sz w:val="24"/>
          <w:szCs w:val="24"/>
          <w:lang w:val="sq-AL"/>
        </w:rPr>
        <w:tab/>
        <w:t>kostot e  kërkimit, zhvillimit dhe operimit, si dhe kostot kapitale shtesë që do të lindin pas fillimit të prodhimit tregtar;</w:t>
      </w:r>
    </w:p>
    <w:p w14:paraId="4BD7448B"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1C6D5CA5" w14:textId="77777777" w:rsidR="00752448" w:rsidRPr="002E7011" w:rsidRDefault="00752448" w:rsidP="00752448">
      <w:pPr>
        <w:autoSpaceDE w:val="0"/>
        <w:autoSpaceDN w:val="0"/>
        <w:adjustRightInd w:val="0"/>
        <w:spacing w:after="0"/>
        <w:ind w:left="1134"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iii) </w:t>
      </w:r>
      <w:r w:rsidRPr="002E7011">
        <w:rPr>
          <w:rFonts w:ascii="Times New Roman" w:eastAsia="Calibri" w:hAnsi="Times New Roman" w:cs="Times New Roman"/>
          <w:sz w:val="24"/>
          <w:szCs w:val="24"/>
          <w:lang w:val="sq-AL"/>
        </w:rPr>
        <w:tab/>
        <w:t>sasitë e prodhimit dhe kushtet e pritshme të shitjes, veçanërisht në lidhje me çmimin;</w:t>
      </w:r>
    </w:p>
    <w:p w14:paraId="2A87D8BF"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3892D0B5" w14:textId="77777777" w:rsidR="00752448" w:rsidRPr="002E7011" w:rsidRDefault="00752448" w:rsidP="00752448">
      <w:pPr>
        <w:autoSpaceDE w:val="0"/>
        <w:autoSpaceDN w:val="0"/>
        <w:adjustRightInd w:val="0"/>
        <w:spacing w:after="0"/>
        <w:ind w:left="1134"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 xml:space="preserve">iv) </w:t>
      </w:r>
      <w:r w:rsidRPr="002E7011">
        <w:rPr>
          <w:rFonts w:ascii="Times New Roman" w:eastAsia="Calibri" w:hAnsi="Times New Roman" w:cs="Times New Roman"/>
          <w:sz w:val="24"/>
          <w:szCs w:val="24"/>
          <w:lang w:val="sq-AL"/>
        </w:rPr>
        <w:tab/>
        <w:t>marrëveshjet e prodhimit ose ndarjes së fitimit, duke përfshirë shpërndarjet e pritshme, politikat në të cilat do të bazohen shpërndarjet dhe rendin e përparësisë ndërmjet shpërndarjeve dhe pagesave të tjera (veçanërisht interesi dhe shlyerja e borxhit);</w:t>
      </w:r>
    </w:p>
    <w:p w14:paraId="735D87DE"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663240DD" w14:textId="77777777" w:rsidR="00752448" w:rsidRPr="002E7011" w:rsidRDefault="00752448" w:rsidP="00752448">
      <w:pPr>
        <w:autoSpaceDE w:val="0"/>
        <w:autoSpaceDN w:val="0"/>
        <w:adjustRightInd w:val="0"/>
        <w:spacing w:after="0"/>
        <w:ind w:left="1134"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v)</w:t>
      </w:r>
      <w:r w:rsidRPr="002E7011">
        <w:rPr>
          <w:rFonts w:ascii="Times New Roman" w:eastAsia="Calibri" w:hAnsi="Times New Roman" w:cs="Times New Roman"/>
          <w:sz w:val="24"/>
          <w:szCs w:val="24"/>
          <w:lang w:val="sq-AL"/>
        </w:rPr>
        <w:tab/>
        <w:t>tatimet, taksat dhe të ardhurat e tjera që duhet t'i paguhen Qeverisë së Shqipërisë dhe mënyrën e llogaritjes së këtyre shumave; dhe</w:t>
      </w:r>
    </w:p>
    <w:p w14:paraId="30EF49CF"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66EF56C6" w14:textId="77777777" w:rsidR="00752448" w:rsidRPr="002E7011" w:rsidRDefault="00752448" w:rsidP="00752448">
      <w:pPr>
        <w:autoSpaceDE w:val="0"/>
        <w:autoSpaceDN w:val="0"/>
        <w:adjustRightInd w:val="0"/>
        <w:spacing w:after="0"/>
        <w:ind w:firstLine="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vi) </w:t>
      </w:r>
      <w:r w:rsidRPr="002E7011">
        <w:rPr>
          <w:rFonts w:ascii="Times New Roman" w:eastAsia="Calibri" w:hAnsi="Times New Roman" w:cs="Times New Roman"/>
          <w:sz w:val="24"/>
          <w:szCs w:val="24"/>
          <w:lang w:val="sq-AL"/>
        </w:rPr>
        <w:tab/>
        <w:t>çdo informacion tjetër që mund të parashikojë Ministri përgjegjës për financat;</w:t>
      </w:r>
    </w:p>
    <w:p w14:paraId="06E0DC33"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B6C4413"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b) </w:t>
      </w:r>
      <w:r w:rsidRPr="002E7011">
        <w:rPr>
          <w:rFonts w:ascii="Times New Roman" w:eastAsia="Calibri" w:hAnsi="Times New Roman" w:cs="Times New Roman"/>
          <w:sz w:val="24"/>
          <w:szCs w:val="24"/>
          <w:lang w:val="sq-AL"/>
        </w:rPr>
        <w:tab/>
        <w:t>duhet të përdorë një model të përshtatshëm të siguruar nga Ministri përgjegjës për financat, në kryerjen e parashikimeve të referuara në nënparagrafin a); dhe</w:t>
      </w:r>
    </w:p>
    <w:p w14:paraId="037C8BE9"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5C1018A0" w14:textId="77777777" w:rsidR="00752448" w:rsidRPr="002E7011" w:rsidRDefault="00752448" w:rsidP="00752448">
      <w:pPr>
        <w:autoSpaceDE w:val="0"/>
        <w:autoSpaceDN w:val="0"/>
        <w:adjustRightInd w:val="0"/>
        <w:spacing w:after="0"/>
        <w:ind w:left="567"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c) </w:t>
      </w:r>
      <w:r w:rsidRPr="002E7011">
        <w:rPr>
          <w:rFonts w:ascii="Times New Roman" w:eastAsia="Calibri" w:hAnsi="Times New Roman" w:cs="Times New Roman"/>
          <w:sz w:val="24"/>
          <w:szCs w:val="24"/>
          <w:lang w:val="sq-AL"/>
        </w:rPr>
        <w:tab/>
        <w:t>caktojë, në mënyrë te përhershme, me njoftim me shkrim tek Ministri përgjegjës për financat, një punonjës</w:t>
      </w:r>
    </w:p>
    <w:p w14:paraId="708D87B1"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009B7BC7" w14:textId="77777777" w:rsidR="00752448" w:rsidRPr="002E7011" w:rsidRDefault="00752448" w:rsidP="00752448">
      <w:pPr>
        <w:autoSpaceDE w:val="0"/>
        <w:autoSpaceDN w:val="0"/>
        <w:adjustRightInd w:val="0"/>
        <w:spacing w:after="0"/>
        <w:ind w:left="1134"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i) </w:t>
      </w:r>
      <w:r w:rsidRPr="002E7011">
        <w:rPr>
          <w:rFonts w:ascii="Times New Roman" w:eastAsia="Calibri" w:hAnsi="Times New Roman" w:cs="Times New Roman"/>
          <w:sz w:val="24"/>
          <w:szCs w:val="24"/>
          <w:lang w:val="sq-AL"/>
        </w:rPr>
        <w:tab/>
        <w:t>me vjetërsi të mjaftueshme pune për të pasur mundësi për akses në informacionin e përmendur në nënparagrafin a); dhe</w:t>
      </w:r>
    </w:p>
    <w:p w14:paraId="67E8391D"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52E3F3BD" w14:textId="77777777" w:rsidR="00752448" w:rsidRPr="002E7011" w:rsidRDefault="00752448" w:rsidP="00752448">
      <w:pPr>
        <w:autoSpaceDE w:val="0"/>
        <w:autoSpaceDN w:val="0"/>
        <w:adjustRightInd w:val="0"/>
        <w:spacing w:after="0"/>
        <w:ind w:left="1134" w:hanging="567"/>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 xml:space="preserve">ii) </w:t>
      </w:r>
      <w:r w:rsidRPr="002E7011">
        <w:rPr>
          <w:rFonts w:ascii="Times New Roman" w:eastAsia="Calibri" w:hAnsi="Times New Roman" w:cs="Times New Roman"/>
          <w:sz w:val="24"/>
          <w:szCs w:val="24"/>
          <w:lang w:val="sq-AL"/>
        </w:rPr>
        <w:tab/>
        <w:t>i cili do të kontaktojë me Ministrinë përgjegjëse për financat në lidhje me çështjet e parashikuara nga ky nen.</w:t>
      </w:r>
    </w:p>
    <w:p w14:paraId="0E0A75AD"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4251236C"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Parashikimet sipas paragrafit 1) (a) duhet të përgatiten dy herë në vit, duke përcaktuar parashikimet sipas datave dhe duhet të dërgohen tek Ministri përgjegjës për financat sipas datave të caktuara me udhëzimin e ministrisë.</w:t>
      </w:r>
    </w:p>
    <w:p w14:paraId="3DC8BB34"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58C292FB" w14:textId="77777777" w:rsidR="00752448" w:rsidRPr="002E7011" w:rsidRDefault="00752448" w:rsidP="00752448">
      <w:pPr>
        <w:autoSpaceDE w:val="0"/>
        <w:autoSpaceDN w:val="0"/>
        <w:adjustRightInd w:val="0"/>
        <w:spacing w:after="0"/>
        <w:jc w:val="both"/>
        <w:rPr>
          <w:rFonts w:ascii="Times New Roman" w:eastAsia="Calibri" w:hAnsi="Times New Roman" w:cs="Times New Roman"/>
          <w:color w:val="000000"/>
          <w:sz w:val="24"/>
          <w:szCs w:val="24"/>
          <w:lang w:val="sq-AL"/>
        </w:rPr>
      </w:pPr>
      <w:r w:rsidRPr="002E7011">
        <w:rPr>
          <w:rFonts w:ascii="Times New Roman" w:eastAsia="Calibri" w:hAnsi="Times New Roman" w:cs="Times New Roman"/>
          <w:sz w:val="24"/>
          <w:szCs w:val="24"/>
          <w:lang w:val="sq-AL"/>
        </w:rPr>
        <w:t xml:space="preserve">3)      Pas marrjes së parashikimeve sipas paragrafit 2), Ministri </w:t>
      </w:r>
      <w:r w:rsidRPr="002E7011">
        <w:rPr>
          <w:rFonts w:ascii="Times New Roman" w:eastAsia="Calibri" w:hAnsi="Times New Roman" w:cs="Times New Roman"/>
          <w:color w:val="000000"/>
          <w:sz w:val="24"/>
          <w:szCs w:val="24"/>
          <w:lang w:val="sq-AL"/>
        </w:rPr>
        <w:t>përgjegjës për financat, me njoftim me shkrim mund të kërkojë nga mbajtësi i të drejtës të japë të dhëna të mëtejshme dhe m</w:t>
      </w:r>
      <w:r w:rsidRPr="002E7011">
        <w:rPr>
          <w:rFonts w:ascii="Times New Roman" w:eastAsia="Calibri" w:hAnsi="Times New Roman" w:cs="Times New Roman"/>
          <w:sz w:val="24"/>
          <w:szCs w:val="24"/>
          <w:lang w:val="sq-AL"/>
        </w:rPr>
        <w:t xml:space="preserve">ë </w:t>
      </w:r>
      <w:r w:rsidRPr="002E7011">
        <w:rPr>
          <w:rFonts w:ascii="Times New Roman" w:eastAsia="Calibri" w:hAnsi="Times New Roman" w:cs="Times New Roman"/>
          <w:color w:val="000000"/>
          <w:sz w:val="24"/>
          <w:szCs w:val="24"/>
          <w:lang w:val="sq-AL"/>
        </w:rPr>
        <w:t>të hollësishme të parashikimeve. Mbajtësi i së drejtës duhet ti depozitoj</w:t>
      </w:r>
      <w:r w:rsidRPr="002E7011">
        <w:rPr>
          <w:rFonts w:ascii="Times New Roman" w:eastAsia="Calibri" w:hAnsi="Times New Roman" w:cs="Times New Roman"/>
          <w:sz w:val="24"/>
          <w:szCs w:val="24"/>
          <w:lang w:val="sq-AL"/>
        </w:rPr>
        <w:t>ë, këto të dhëna</w:t>
      </w:r>
      <w:r w:rsidRPr="002E7011">
        <w:rPr>
          <w:rFonts w:ascii="Times New Roman" w:eastAsia="Calibri" w:hAnsi="Times New Roman" w:cs="Times New Roman"/>
          <w:color w:val="000000"/>
          <w:sz w:val="24"/>
          <w:szCs w:val="24"/>
          <w:lang w:val="sq-AL"/>
        </w:rPr>
        <w:t xml:space="preserve"> brenda 7 ditëve nga marrja e njoftimit.</w:t>
      </w:r>
    </w:p>
    <w:p w14:paraId="3B8D7FE6" w14:textId="77777777" w:rsidR="00752448" w:rsidRPr="002E7011" w:rsidRDefault="00752448" w:rsidP="00752448">
      <w:pPr>
        <w:autoSpaceDE w:val="0"/>
        <w:autoSpaceDN w:val="0"/>
        <w:adjustRightInd w:val="0"/>
        <w:spacing w:after="0"/>
        <w:jc w:val="both"/>
        <w:rPr>
          <w:rFonts w:ascii="Times New Roman" w:eastAsia="Calibri" w:hAnsi="Times New Roman" w:cs="Times New Roman"/>
          <w:color w:val="000000"/>
          <w:sz w:val="24"/>
          <w:szCs w:val="24"/>
          <w:lang w:val="sq-AL"/>
        </w:rPr>
      </w:pPr>
    </w:p>
    <w:p w14:paraId="3E7076CB"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4)       Nëse një mbajtës i të drejtës hidrokarbure vihet në dijeni të fakteve që bëjnë materialisht të pasakta parashikimet më të fundit të përmendura në paragrafin 1)</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a), atëherë mbajtësi i së drejtës duhet të njoftojë menjëherë Ministrin përgjegjës për financat dhe të japë informacion të përditësuar.</w:t>
      </w:r>
    </w:p>
    <w:p w14:paraId="7B8A1439"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7B36BDAC" w14:textId="29492381"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5)        Një mbajtës i së drejtës i cili nuk jep informacionin në lidhje me parashikimet, detajet ose përditësime të mëtejshme,</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 xml:space="preserve">siç kërkohen nga ky nen, dënohet me gjobë </w:t>
      </w:r>
      <w:r w:rsidRPr="00E63377">
        <w:rPr>
          <w:rFonts w:ascii="Times New Roman" w:eastAsia="Calibri" w:hAnsi="Times New Roman" w:cs="Times New Roman"/>
          <w:sz w:val="24"/>
          <w:szCs w:val="24"/>
          <w:lang w:val="sq-AL"/>
        </w:rPr>
        <w:t>100,000</w:t>
      </w:r>
      <w:r w:rsidRPr="002E7011">
        <w:rPr>
          <w:rFonts w:ascii="Times New Roman" w:eastAsia="Calibri" w:hAnsi="Times New Roman" w:cs="Times New Roman"/>
          <w:sz w:val="24"/>
          <w:szCs w:val="24"/>
          <w:lang w:val="sq-AL"/>
        </w:rPr>
        <w:t xml:space="preserve"> lekë për çdo shkelje.</w:t>
      </w:r>
    </w:p>
    <w:p w14:paraId="7E177022"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6435C3E8"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 xml:space="preserve">6)        Informacioni i marrë sipas këtij neni mund të përdoret brenda Ministrisë përgjegjëse për parashikimin e të ardhurave buxhetore dhe për qëllime të administrimit financiar publik. Në cdo rast tjetër informacioni i nënshtrohet kërkesave të nenit 25 të Ligjit nr. 9920, datë 19.05.2008 "Për procedurat tatimore në Republikën e Shqipërisë", i ndryshuar, </w:t>
      </w:r>
      <w:r w:rsidRPr="00E63377">
        <w:rPr>
          <w:rFonts w:ascii="Times New Roman" w:eastAsia="Calibri" w:hAnsi="Times New Roman" w:cs="Times New Roman"/>
          <w:sz w:val="24"/>
          <w:szCs w:val="24"/>
          <w:lang w:val="sq-AL"/>
        </w:rPr>
        <w:t>me çdo përshtatje të nevojshme.</w:t>
      </w:r>
    </w:p>
    <w:p w14:paraId="7DA98959"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6C071503"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7) </w:t>
      </w:r>
      <w:r w:rsidRPr="002E7011">
        <w:rPr>
          <w:rFonts w:ascii="Times New Roman" w:eastAsia="Calibri" w:hAnsi="Times New Roman" w:cs="Times New Roman"/>
          <w:sz w:val="24"/>
          <w:szCs w:val="24"/>
          <w:lang w:val="sq-AL"/>
        </w:rPr>
        <w:tab/>
        <w:t>Në zbatimin e këtij neni, Ministria përgjegjëse për financat duhet të koordinohet me autoritetin rregullator.</w:t>
      </w:r>
    </w:p>
    <w:p w14:paraId="66BE13B1" w14:textId="77777777" w:rsidR="00752448" w:rsidRPr="002E7011" w:rsidRDefault="00752448" w:rsidP="00752448">
      <w:pPr>
        <w:autoSpaceDE w:val="0"/>
        <w:autoSpaceDN w:val="0"/>
        <w:adjustRightInd w:val="0"/>
        <w:spacing w:after="0"/>
        <w:jc w:val="both"/>
        <w:rPr>
          <w:rFonts w:ascii="Times New Roman" w:eastAsia="Calibri" w:hAnsi="Times New Roman" w:cs="Times New Roman"/>
          <w:sz w:val="24"/>
          <w:szCs w:val="24"/>
          <w:lang w:val="sq-AL"/>
        </w:rPr>
      </w:pPr>
    </w:p>
    <w:p w14:paraId="25065408"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KAPITULLI VI</w:t>
      </w:r>
    </w:p>
    <w:p w14:paraId="7ED26B81"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NDRYSHIMET DHE DISPOZITAT  KALIMTARE</w:t>
      </w:r>
    </w:p>
    <w:p w14:paraId="69732155" w14:textId="77777777" w:rsidR="00752448" w:rsidRPr="002E7011" w:rsidRDefault="00752448" w:rsidP="00752448">
      <w:pPr>
        <w:spacing w:after="0"/>
        <w:jc w:val="center"/>
        <w:rPr>
          <w:rFonts w:ascii="Times New Roman" w:eastAsia="Calibri" w:hAnsi="Times New Roman" w:cs="Times New Roman"/>
          <w:sz w:val="24"/>
          <w:szCs w:val="24"/>
          <w:lang w:val="sq-AL"/>
        </w:rPr>
      </w:pPr>
    </w:p>
    <w:p w14:paraId="00D2A242" w14:textId="77777777" w:rsidR="00752448" w:rsidRPr="002E7011" w:rsidRDefault="00752448" w:rsidP="00752448">
      <w:pPr>
        <w:spacing w:after="0"/>
        <w:ind w:left="720" w:hanging="72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27</w:t>
      </w:r>
    </w:p>
    <w:p w14:paraId="2BA7726E" w14:textId="77777777" w:rsidR="00752448" w:rsidRPr="002E7011" w:rsidRDefault="00752448" w:rsidP="00752448">
      <w:pPr>
        <w:spacing w:after="0"/>
        <w:ind w:left="720" w:hanging="72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Dispozita kalimtare</w:t>
      </w:r>
    </w:p>
    <w:p w14:paraId="51DD9F22" w14:textId="77777777" w:rsidR="00752448" w:rsidRPr="002E7011" w:rsidRDefault="00752448" w:rsidP="00752448">
      <w:pPr>
        <w:spacing w:after="0"/>
        <w:ind w:left="720" w:hanging="720"/>
        <w:jc w:val="center"/>
        <w:rPr>
          <w:rFonts w:ascii="Times New Roman" w:eastAsia="Calibri" w:hAnsi="Times New Roman" w:cs="Times New Roman"/>
          <w:sz w:val="24"/>
          <w:szCs w:val="24"/>
          <w:lang w:val="sq-AL"/>
        </w:rPr>
      </w:pPr>
    </w:p>
    <w:p w14:paraId="3E2EB108" w14:textId="77777777" w:rsidR="00752448" w:rsidRPr="002E7011" w:rsidRDefault="00752448" w:rsidP="00752448">
      <w:pPr>
        <w:spacing w:after="0"/>
        <w:ind w:left="720" w:hanging="72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 xml:space="preserve">1) </w:t>
      </w:r>
      <w:r w:rsidRPr="002E7011">
        <w:rPr>
          <w:rFonts w:ascii="Times New Roman" w:eastAsia="Calibri" w:hAnsi="Times New Roman" w:cs="Times New Roman"/>
          <w:sz w:val="24"/>
          <w:szCs w:val="24"/>
          <w:lang w:val="sq-AL"/>
        </w:rPr>
        <w:tab/>
        <w:t>Për qëllimet e nenit 9 të këtij ligji, humbjet e lejuara të një operacioni të veçantë hidrokarbur, përfshijnë kostot e parikuperuara të operacionit, të shkaktuara para fillimit të këtij Ligji.</w:t>
      </w:r>
    </w:p>
    <w:p w14:paraId="204A619D" w14:textId="77777777" w:rsidR="00752448" w:rsidRPr="002E7011" w:rsidRDefault="00752448" w:rsidP="00752448">
      <w:pPr>
        <w:spacing w:after="0"/>
        <w:ind w:left="720" w:hanging="720"/>
        <w:jc w:val="both"/>
        <w:rPr>
          <w:rFonts w:ascii="Times New Roman" w:eastAsia="Calibri" w:hAnsi="Times New Roman" w:cs="Times New Roman"/>
          <w:sz w:val="24"/>
          <w:szCs w:val="24"/>
          <w:lang w:val="sq-AL"/>
        </w:rPr>
      </w:pPr>
    </w:p>
    <w:p w14:paraId="608F987A" w14:textId="77777777" w:rsidR="00752448" w:rsidRPr="002E7011" w:rsidRDefault="00752448" w:rsidP="00752448">
      <w:pPr>
        <w:spacing w:after="0"/>
        <w:ind w:left="720" w:hanging="72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w:t>
      </w:r>
      <w:r w:rsidRPr="002E7011">
        <w:rPr>
          <w:rFonts w:ascii="Times New Roman" w:eastAsia="Calibri" w:hAnsi="Times New Roman" w:cs="Times New Roman"/>
          <w:sz w:val="24"/>
          <w:szCs w:val="24"/>
          <w:lang w:val="sq-AL"/>
        </w:rPr>
        <w:tab/>
        <w:t xml:space="preserve"> Për qëllimet e paragrafit 1) -</w:t>
      </w:r>
    </w:p>
    <w:p w14:paraId="7FD9755B" w14:textId="77777777" w:rsidR="00752448" w:rsidRPr="002E7011" w:rsidRDefault="00752448" w:rsidP="00752448">
      <w:pPr>
        <w:spacing w:after="0"/>
        <w:ind w:left="720" w:hanging="720"/>
        <w:jc w:val="both"/>
        <w:rPr>
          <w:rFonts w:ascii="Times New Roman" w:eastAsia="Calibri" w:hAnsi="Times New Roman" w:cs="Times New Roman"/>
          <w:sz w:val="24"/>
          <w:szCs w:val="24"/>
          <w:lang w:val="sq-AL"/>
        </w:rPr>
      </w:pPr>
    </w:p>
    <w:p w14:paraId="5478199F" w14:textId="77777777" w:rsidR="00752448" w:rsidRPr="002E7011" w:rsidRDefault="00752448" w:rsidP="00752448">
      <w:pPr>
        <w:spacing w:after="0"/>
        <w:ind w:left="720" w:hanging="72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 xml:space="preserve">a) </w:t>
      </w:r>
      <w:r w:rsidRPr="002E7011">
        <w:rPr>
          <w:rFonts w:ascii="Times New Roman" w:eastAsia="Calibri" w:hAnsi="Times New Roman" w:cs="Times New Roman"/>
          <w:sz w:val="24"/>
          <w:szCs w:val="24"/>
          <w:lang w:val="sq-AL"/>
        </w:rPr>
        <w:tab/>
        <w:t>"kostot e parikuperuara" merr kuptimin nga marrëveshja përkatëse e hidrokarbureve</w:t>
      </w:r>
      <w:r>
        <w:rPr>
          <w:rFonts w:ascii="Times New Roman" w:eastAsia="Calibri" w:hAnsi="Times New Roman" w:cs="Times New Roman"/>
          <w:sz w:val="24"/>
          <w:szCs w:val="24"/>
          <w:lang w:val="sq-AL"/>
        </w:rPr>
        <w:t>;</w:t>
      </w:r>
      <w:r w:rsidRPr="002E7011">
        <w:rPr>
          <w:rFonts w:ascii="Times New Roman" w:eastAsia="Calibri" w:hAnsi="Times New Roman" w:cs="Times New Roman"/>
          <w:sz w:val="24"/>
          <w:szCs w:val="24"/>
          <w:lang w:val="sq-AL"/>
        </w:rPr>
        <w:t xml:space="preserve"> dhe</w:t>
      </w:r>
    </w:p>
    <w:p w14:paraId="1E7BC274" w14:textId="77777777" w:rsidR="00752448" w:rsidRPr="002E7011" w:rsidRDefault="00752448" w:rsidP="00752448">
      <w:pPr>
        <w:spacing w:after="0"/>
        <w:ind w:left="720" w:hanging="720"/>
        <w:jc w:val="both"/>
        <w:rPr>
          <w:rFonts w:ascii="Times New Roman" w:eastAsia="Calibri" w:hAnsi="Times New Roman" w:cs="Times New Roman"/>
          <w:sz w:val="24"/>
          <w:szCs w:val="24"/>
          <w:lang w:val="sq-AL"/>
        </w:rPr>
      </w:pPr>
    </w:p>
    <w:p w14:paraId="0CDF9FE1" w14:textId="77777777" w:rsidR="00752448" w:rsidRPr="002E7011" w:rsidRDefault="00752448" w:rsidP="00752448">
      <w:pPr>
        <w:spacing w:after="0"/>
        <w:ind w:left="720" w:hanging="72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b)</w:t>
      </w:r>
      <w:r w:rsidRPr="002E7011">
        <w:rPr>
          <w:rFonts w:ascii="Times New Roman" w:eastAsia="Calibri" w:hAnsi="Times New Roman" w:cs="Times New Roman"/>
          <w:sz w:val="24"/>
          <w:szCs w:val="24"/>
          <w:lang w:val="sq-AL"/>
        </w:rPr>
        <w:tab/>
        <w:t>kostot e parikuperuara të shkaktuara para fillimit të këtij ligji  janë të lejuara si humbje vetëm nëse  janë të kontrolluar dhe, vërtetuar si të sakta dhe i atribuohen operacionit hidrokarbur, nga autoriteti rregullator.</w:t>
      </w:r>
    </w:p>
    <w:p w14:paraId="34F5B834" w14:textId="77777777" w:rsidR="00752448" w:rsidRPr="002E7011" w:rsidRDefault="00752448" w:rsidP="00752448">
      <w:pPr>
        <w:spacing w:after="0"/>
        <w:jc w:val="both"/>
        <w:rPr>
          <w:rFonts w:ascii="Times New Roman" w:eastAsia="Calibri" w:hAnsi="Times New Roman" w:cs="Times New Roman"/>
          <w:b/>
          <w:sz w:val="24"/>
          <w:szCs w:val="24"/>
          <w:lang w:val="sq-AL"/>
        </w:rPr>
      </w:pPr>
    </w:p>
    <w:p w14:paraId="51A875D6" w14:textId="77777777" w:rsidR="00752448" w:rsidRPr="002E7011" w:rsidRDefault="00752448" w:rsidP="00752448">
      <w:pPr>
        <w:spacing w:after="0"/>
        <w:ind w:left="720" w:hanging="720"/>
        <w:jc w:val="both"/>
        <w:rPr>
          <w:rFonts w:ascii="Times New Roman" w:eastAsia="Calibri" w:hAnsi="Times New Roman" w:cs="Times New Roman"/>
          <w:b/>
          <w:sz w:val="24"/>
          <w:szCs w:val="24"/>
          <w:lang w:val="sq-AL"/>
        </w:rPr>
      </w:pPr>
    </w:p>
    <w:p w14:paraId="46BD6F81" w14:textId="77777777" w:rsidR="00752448" w:rsidRPr="002E7011" w:rsidRDefault="00752448" w:rsidP="00752448">
      <w:pPr>
        <w:spacing w:after="0"/>
        <w:ind w:left="720" w:hanging="72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Shfuqizimi i legjislacionit ekzistues</w:t>
      </w:r>
    </w:p>
    <w:p w14:paraId="6C6B7CC1" w14:textId="77777777" w:rsidR="00752448" w:rsidRPr="002E7011" w:rsidRDefault="00752448" w:rsidP="00752448">
      <w:pPr>
        <w:spacing w:after="0"/>
        <w:ind w:left="720" w:hanging="72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28</w:t>
      </w:r>
    </w:p>
    <w:p w14:paraId="729DF098" w14:textId="77777777" w:rsidR="00752448" w:rsidRPr="002E7011" w:rsidRDefault="00752448" w:rsidP="00752448">
      <w:pPr>
        <w:spacing w:after="0"/>
        <w:ind w:left="720" w:hanging="720"/>
        <w:jc w:val="both"/>
        <w:rPr>
          <w:rFonts w:ascii="Times New Roman" w:eastAsia="Calibri" w:hAnsi="Times New Roman" w:cs="Times New Roman"/>
          <w:sz w:val="24"/>
          <w:szCs w:val="24"/>
          <w:lang w:val="sq-AL"/>
        </w:rPr>
      </w:pPr>
    </w:p>
    <w:p w14:paraId="3023FA6B" w14:textId="77777777" w:rsidR="00752448" w:rsidRPr="0052353C" w:rsidRDefault="00752448" w:rsidP="00752448">
      <w:pPr>
        <w:spacing w:after="0"/>
        <w:jc w:val="both"/>
        <w:outlineLvl w:val="2"/>
        <w:rPr>
          <w:rFonts w:ascii="Times New Roman" w:eastAsia="Calibri" w:hAnsi="Times New Roman" w:cs="Times New Roman"/>
          <w:b/>
          <w:sz w:val="24"/>
          <w:szCs w:val="24"/>
          <w:lang w:val="sq-AL"/>
        </w:rPr>
      </w:pPr>
      <w:r w:rsidRPr="0052353C">
        <w:rPr>
          <w:rFonts w:ascii="Times New Roman" w:eastAsia="Times New Roman" w:hAnsi="Times New Roman" w:cs="Times New Roman"/>
          <w:b/>
          <w:color w:val="000000" w:themeColor="text1"/>
          <w:sz w:val="24"/>
          <w:szCs w:val="24"/>
          <w:lang w:val="sq-AL"/>
        </w:rPr>
        <w:t xml:space="preserve">1) </w:t>
      </w:r>
      <w:r w:rsidRPr="002E7011">
        <w:rPr>
          <w:rFonts w:ascii="Times New Roman" w:eastAsia="Calibri" w:hAnsi="Times New Roman" w:cs="Times New Roman"/>
          <w:sz w:val="24"/>
          <w:szCs w:val="24"/>
          <w:lang w:val="sq-AL"/>
        </w:rPr>
        <w:t>Ligji nr.7811, datë 12.04.1994 "Mbi aprovimin e dekretit nr.782, datë 22.2.1994″Mbi sistemin fiskal në sektorin e Hidrokarbureve</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(kërkim-prodhim)”, i ndryshuar, shfuqizohet.</w:t>
      </w:r>
    </w:p>
    <w:p w14:paraId="6F4AB6CE" w14:textId="77777777" w:rsidR="00752448" w:rsidRPr="002E7011" w:rsidRDefault="00752448" w:rsidP="00752448">
      <w:pPr>
        <w:spacing w:after="0"/>
        <w:ind w:left="142" w:hanging="142"/>
        <w:jc w:val="both"/>
        <w:rPr>
          <w:rFonts w:ascii="Times New Roman" w:eastAsia="Calibri" w:hAnsi="Times New Roman" w:cs="Times New Roman"/>
          <w:sz w:val="24"/>
          <w:szCs w:val="24"/>
          <w:lang w:val="sq-AL"/>
        </w:rPr>
      </w:pPr>
    </w:p>
    <w:p w14:paraId="2053F82C" w14:textId="77777777" w:rsidR="00752448" w:rsidRPr="002E7011" w:rsidRDefault="00752448" w:rsidP="00752448">
      <w:pPr>
        <w:spacing w:after="0"/>
        <w:ind w:left="142" w:hanging="142"/>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2) Në Ligjin nr.9975, datë 28.07.2008, "Për Taksat Kombëtare", i ndryshuar:</w:t>
      </w:r>
    </w:p>
    <w:p w14:paraId="506462DC" w14:textId="77777777" w:rsidR="00752448" w:rsidRPr="002E7011" w:rsidRDefault="00752448" w:rsidP="00752448">
      <w:pPr>
        <w:spacing w:after="0"/>
        <w:ind w:left="142" w:hanging="142"/>
        <w:jc w:val="both"/>
        <w:rPr>
          <w:rFonts w:ascii="Times New Roman" w:eastAsia="Calibri" w:hAnsi="Times New Roman" w:cs="Times New Roman"/>
          <w:sz w:val="24"/>
          <w:szCs w:val="24"/>
          <w:lang w:val="sq-AL"/>
        </w:rPr>
      </w:pPr>
    </w:p>
    <w:p w14:paraId="36317893" w14:textId="77777777" w:rsidR="00752448" w:rsidRPr="002E7011" w:rsidRDefault="00752448" w:rsidP="00752448">
      <w:pPr>
        <w:spacing w:after="0"/>
        <w:ind w:left="142" w:hanging="142"/>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a) në fund të nenit 4 (4) shtohet paragrafi i mëposhtëm:</w:t>
      </w:r>
    </w:p>
    <w:p w14:paraId="22EB7366" w14:textId="77777777" w:rsidR="00752448" w:rsidRPr="002E7011" w:rsidRDefault="00752448" w:rsidP="00752448">
      <w:pPr>
        <w:spacing w:after="0"/>
        <w:ind w:left="142" w:hanging="142"/>
        <w:jc w:val="both"/>
        <w:rPr>
          <w:rFonts w:ascii="Times New Roman" w:eastAsia="Calibri" w:hAnsi="Times New Roman" w:cs="Times New Roman"/>
          <w:sz w:val="24"/>
          <w:szCs w:val="24"/>
          <w:lang w:val="sq-AL"/>
        </w:rPr>
      </w:pPr>
    </w:p>
    <w:p w14:paraId="3DB6DB48" w14:textId="77777777" w:rsidR="00752448" w:rsidRPr="002E7011" w:rsidRDefault="00752448" w:rsidP="00752448">
      <w:pPr>
        <w:spacing w:after="0"/>
        <w:ind w:left="142" w:hanging="142"/>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"Taksa e rentës minerare, për hidrokarburet e nxjerra përcaktohet me Ligjin," Për regjimin fiskal  në sektorin hidrokarbur ", dhe</w:t>
      </w:r>
    </w:p>
    <w:p w14:paraId="2B074115" w14:textId="77777777" w:rsidR="00752448" w:rsidRPr="002E7011" w:rsidRDefault="00752448" w:rsidP="00752448">
      <w:pPr>
        <w:spacing w:after="0"/>
        <w:ind w:left="142" w:hanging="142"/>
        <w:jc w:val="both"/>
        <w:rPr>
          <w:rFonts w:ascii="Times New Roman" w:eastAsia="Calibri" w:hAnsi="Times New Roman" w:cs="Times New Roman"/>
          <w:sz w:val="24"/>
          <w:szCs w:val="24"/>
          <w:lang w:val="sq-AL"/>
        </w:rPr>
      </w:pPr>
    </w:p>
    <w:p w14:paraId="505899FF" w14:textId="77777777" w:rsidR="00752448" w:rsidRPr="002E7011" w:rsidRDefault="00752448" w:rsidP="00752448">
      <w:pPr>
        <w:spacing w:after="0"/>
        <w:ind w:left="142" w:hanging="142"/>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lastRenderedPageBreak/>
        <w:t>b) Grupi i shtatë në shtojcën nr.</w:t>
      </w:r>
      <w:r>
        <w:rPr>
          <w:rFonts w:ascii="Times New Roman" w:eastAsia="Calibri" w:hAnsi="Times New Roman" w:cs="Times New Roman"/>
          <w:sz w:val="24"/>
          <w:szCs w:val="24"/>
          <w:lang w:val="sq-AL"/>
        </w:rPr>
        <w:t xml:space="preserve"> </w:t>
      </w:r>
      <w:r w:rsidRPr="002E7011">
        <w:rPr>
          <w:rFonts w:ascii="Times New Roman" w:eastAsia="Calibri" w:hAnsi="Times New Roman" w:cs="Times New Roman"/>
          <w:sz w:val="24"/>
          <w:szCs w:val="24"/>
          <w:lang w:val="sq-AL"/>
        </w:rPr>
        <w:t>2 shfuqizohet.</w:t>
      </w:r>
    </w:p>
    <w:p w14:paraId="72189D88" w14:textId="77777777" w:rsidR="00752448" w:rsidRPr="002E7011" w:rsidRDefault="00752448" w:rsidP="00752448">
      <w:pPr>
        <w:spacing w:after="0"/>
        <w:ind w:left="142" w:hanging="142"/>
        <w:jc w:val="both"/>
        <w:rPr>
          <w:rFonts w:ascii="Times New Roman" w:eastAsia="Calibri" w:hAnsi="Times New Roman" w:cs="Times New Roman"/>
          <w:sz w:val="24"/>
          <w:szCs w:val="24"/>
          <w:lang w:val="sq-AL"/>
        </w:rPr>
      </w:pPr>
    </w:p>
    <w:p w14:paraId="356058B4" w14:textId="77777777" w:rsidR="00752448" w:rsidRPr="002E7011" w:rsidRDefault="00752448" w:rsidP="00752448">
      <w:pPr>
        <w:spacing w:after="0"/>
        <w:ind w:left="142" w:hanging="142"/>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29</w:t>
      </w:r>
    </w:p>
    <w:p w14:paraId="4C37B341" w14:textId="77777777" w:rsidR="00752448" w:rsidRPr="002E7011" w:rsidRDefault="00752448" w:rsidP="00752448">
      <w:pPr>
        <w:spacing w:after="0"/>
        <w:ind w:left="142" w:hanging="142"/>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Aktet nënligjore</w:t>
      </w:r>
    </w:p>
    <w:p w14:paraId="0FE4917E" w14:textId="77777777" w:rsidR="00752448" w:rsidRPr="002E7011" w:rsidRDefault="00752448" w:rsidP="00752448">
      <w:pPr>
        <w:spacing w:after="0"/>
        <w:ind w:left="142" w:hanging="142"/>
        <w:jc w:val="center"/>
        <w:rPr>
          <w:rFonts w:ascii="Times New Roman" w:eastAsia="Calibri" w:hAnsi="Times New Roman" w:cs="Times New Roman"/>
          <w:sz w:val="24"/>
          <w:szCs w:val="24"/>
          <w:lang w:val="sq-AL"/>
        </w:rPr>
      </w:pPr>
    </w:p>
    <w:p w14:paraId="4EAE502F"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Ministri përgjegjës për financat ngarkohet për nxjerrjen e udhëzimeve për zbatimin e këtij Ligji.</w:t>
      </w:r>
    </w:p>
    <w:p w14:paraId="10470ADF"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078C0CA" w14:textId="77777777" w:rsidR="00752448" w:rsidRPr="002E7011" w:rsidRDefault="00752448" w:rsidP="00752448">
      <w:pPr>
        <w:spacing w:after="0"/>
        <w:jc w:val="center"/>
        <w:rPr>
          <w:rFonts w:ascii="Times New Roman" w:eastAsia="Calibri" w:hAnsi="Times New Roman" w:cs="Times New Roman"/>
          <w:b/>
          <w:sz w:val="24"/>
          <w:szCs w:val="24"/>
          <w:lang w:val="sq-AL"/>
        </w:rPr>
      </w:pPr>
      <w:r w:rsidRPr="002E7011">
        <w:rPr>
          <w:rFonts w:ascii="Times New Roman" w:eastAsia="Calibri" w:hAnsi="Times New Roman" w:cs="Times New Roman"/>
          <w:b/>
          <w:sz w:val="24"/>
          <w:szCs w:val="24"/>
          <w:lang w:val="sq-AL"/>
        </w:rPr>
        <w:t>Neni 30</w:t>
      </w:r>
    </w:p>
    <w:p w14:paraId="0388CC92" w14:textId="77777777" w:rsidR="00752448" w:rsidRPr="002E7011" w:rsidRDefault="00752448" w:rsidP="00752448">
      <w:pPr>
        <w:spacing w:after="0"/>
        <w:jc w:val="center"/>
        <w:rPr>
          <w:rFonts w:ascii="Times New Roman" w:eastAsia="Calibri" w:hAnsi="Times New Roman" w:cs="Times New Roman"/>
          <w:sz w:val="24"/>
          <w:szCs w:val="24"/>
          <w:lang w:val="sq-AL"/>
        </w:rPr>
      </w:pPr>
      <w:r w:rsidRPr="002E7011">
        <w:rPr>
          <w:rFonts w:ascii="Times New Roman" w:eastAsia="Calibri" w:hAnsi="Times New Roman" w:cs="Times New Roman"/>
          <w:b/>
          <w:sz w:val="24"/>
          <w:szCs w:val="24"/>
          <w:lang w:val="sq-AL"/>
        </w:rPr>
        <w:t>Hyrja në fuqi</w:t>
      </w:r>
    </w:p>
    <w:p w14:paraId="321C9F95"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0F22E6DB" w14:textId="77777777" w:rsidR="00752448" w:rsidRPr="002E7011" w:rsidRDefault="00752448" w:rsidP="00752448">
      <w:pPr>
        <w:spacing w:after="0"/>
        <w:jc w:val="both"/>
        <w:rPr>
          <w:rFonts w:ascii="Times New Roman" w:eastAsia="Calibri" w:hAnsi="Times New Roman" w:cs="Times New Roman"/>
          <w:sz w:val="24"/>
          <w:szCs w:val="24"/>
          <w:lang w:val="sq-AL"/>
        </w:rPr>
      </w:pPr>
      <w:r w:rsidRPr="002E7011">
        <w:rPr>
          <w:rFonts w:ascii="Times New Roman" w:eastAsia="Calibri" w:hAnsi="Times New Roman" w:cs="Times New Roman"/>
          <w:sz w:val="24"/>
          <w:szCs w:val="24"/>
          <w:lang w:val="sq-AL"/>
        </w:rPr>
        <w:t>Ky Ligj hyn në fuqi 15 ditë pas botimit në Fletoren Zyrtare.</w:t>
      </w:r>
    </w:p>
    <w:p w14:paraId="48FF1D39" w14:textId="77777777" w:rsidR="00752448" w:rsidRPr="002E7011" w:rsidRDefault="00752448" w:rsidP="00752448">
      <w:pPr>
        <w:spacing w:after="0"/>
        <w:jc w:val="both"/>
        <w:rPr>
          <w:rFonts w:ascii="Times New Roman" w:eastAsia="Calibri" w:hAnsi="Times New Roman" w:cs="Times New Roman"/>
          <w:sz w:val="24"/>
          <w:szCs w:val="24"/>
          <w:lang w:val="sq-AL"/>
        </w:rPr>
      </w:pPr>
    </w:p>
    <w:p w14:paraId="1C50C22D" w14:textId="77777777" w:rsidR="00752448" w:rsidRPr="002E7011" w:rsidRDefault="00752448" w:rsidP="00752448">
      <w:pPr>
        <w:jc w:val="both"/>
        <w:rPr>
          <w:rFonts w:ascii="Times New Roman" w:hAnsi="Times New Roman" w:cs="Times New Roman"/>
          <w:sz w:val="24"/>
          <w:szCs w:val="24"/>
        </w:rPr>
      </w:pPr>
    </w:p>
    <w:p w14:paraId="2E87FBD7" w14:textId="77777777" w:rsidR="00D51C1A" w:rsidRPr="00D51C1A" w:rsidRDefault="00D51C1A" w:rsidP="00D51C1A">
      <w:pPr>
        <w:widowControl w:val="0"/>
        <w:autoSpaceDE w:val="0"/>
        <w:autoSpaceDN w:val="0"/>
        <w:adjustRightInd w:val="0"/>
        <w:ind w:left="1416" w:firstLine="708"/>
        <w:jc w:val="center"/>
        <w:rPr>
          <w:rFonts w:ascii="Times New Roman" w:hAnsi="Times New Roman" w:cs="Times New Roman"/>
          <w:b/>
          <w:sz w:val="24"/>
          <w:szCs w:val="24"/>
          <w:lang w:val="sq-AL"/>
        </w:rPr>
      </w:pPr>
      <w:r w:rsidRPr="00D51C1A">
        <w:rPr>
          <w:rFonts w:ascii="Times New Roman" w:hAnsi="Times New Roman" w:cs="Times New Roman"/>
          <w:b/>
          <w:sz w:val="24"/>
          <w:szCs w:val="24"/>
          <w:lang w:val="sq-AL"/>
        </w:rPr>
        <w:t>K R Y E T A R</w:t>
      </w:r>
    </w:p>
    <w:p w14:paraId="3FC6D90A" w14:textId="77777777" w:rsidR="00D51C1A" w:rsidRPr="00D51C1A" w:rsidRDefault="00D51C1A" w:rsidP="00D51C1A">
      <w:pPr>
        <w:widowControl w:val="0"/>
        <w:autoSpaceDE w:val="0"/>
        <w:autoSpaceDN w:val="0"/>
        <w:adjustRightInd w:val="0"/>
        <w:ind w:left="1416" w:firstLine="708"/>
        <w:jc w:val="center"/>
        <w:rPr>
          <w:rFonts w:ascii="Times New Roman" w:hAnsi="Times New Roman" w:cs="Times New Roman"/>
          <w:b/>
          <w:sz w:val="24"/>
          <w:szCs w:val="24"/>
          <w:lang w:val="sq-AL"/>
        </w:rPr>
      </w:pPr>
      <w:r w:rsidRPr="00D51C1A">
        <w:rPr>
          <w:rFonts w:ascii="Times New Roman" w:hAnsi="Times New Roman" w:cs="Times New Roman"/>
          <w:b/>
          <w:sz w:val="24"/>
          <w:szCs w:val="24"/>
          <w:lang w:val="sq-AL"/>
        </w:rPr>
        <w:t>GRAMOZ  RUCI</w:t>
      </w:r>
    </w:p>
    <w:p w14:paraId="4A813990" w14:textId="77777777" w:rsidR="00D51C1A" w:rsidRPr="0041131C" w:rsidRDefault="00D51C1A" w:rsidP="00D51C1A">
      <w:pPr>
        <w:widowControl w:val="0"/>
        <w:autoSpaceDE w:val="0"/>
        <w:autoSpaceDN w:val="0"/>
        <w:adjustRightInd w:val="0"/>
        <w:jc w:val="center"/>
        <w:rPr>
          <w:b/>
          <w:lang w:val="sq-AL"/>
        </w:rPr>
      </w:pPr>
    </w:p>
    <w:p w14:paraId="5BDFA9F5" w14:textId="77777777" w:rsidR="00D51C1A" w:rsidRPr="00D65495" w:rsidRDefault="00D51C1A" w:rsidP="00D65495">
      <w:pPr>
        <w:jc w:val="both"/>
        <w:rPr>
          <w:rFonts w:ascii="Times New Roman" w:hAnsi="Times New Roman" w:cs="Times New Roman"/>
          <w:sz w:val="24"/>
          <w:szCs w:val="24"/>
          <w:lang w:val="sq-AL"/>
        </w:rPr>
      </w:pPr>
    </w:p>
    <w:sectPr w:rsidR="00D51C1A" w:rsidRPr="00D6549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5644C" w14:textId="77777777" w:rsidR="0050340A" w:rsidRDefault="0050340A" w:rsidP="0055222D">
      <w:pPr>
        <w:spacing w:after="0" w:line="240" w:lineRule="auto"/>
      </w:pPr>
      <w:r>
        <w:separator/>
      </w:r>
    </w:p>
  </w:endnote>
  <w:endnote w:type="continuationSeparator" w:id="0">
    <w:p w14:paraId="7E4DD54A" w14:textId="77777777" w:rsidR="0050340A" w:rsidRDefault="0050340A" w:rsidP="00552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CCB79" w14:textId="77777777" w:rsidR="0050340A" w:rsidRDefault="0050340A" w:rsidP="0055222D">
      <w:pPr>
        <w:spacing w:after="0" w:line="240" w:lineRule="auto"/>
      </w:pPr>
      <w:r>
        <w:separator/>
      </w:r>
    </w:p>
  </w:footnote>
  <w:footnote w:type="continuationSeparator" w:id="0">
    <w:p w14:paraId="465B9B7D" w14:textId="77777777" w:rsidR="0050340A" w:rsidRDefault="0050340A" w:rsidP="00552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1D42"/>
    <w:multiLevelType w:val="hybridMultilevel"/>
    <w:tmpl w:val="4E4294CA"/>
    <w:lvl w:ilvl="0" w:tplc="ED22BC3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092B768D"/>
    <w:multiLevelType w:val="hybridMultilevel"/>
    <w:tmpl w:val="20002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7579EE"/>
    <w:multiLevelType w:val="hybridMultilevel"/>
    <w:tmpl w:val="E5AA6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56358"/>
    <w:multiLevelType w:val="hybridMultilevel"/>
    <w:tmpl w:val="30BCF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9171E"/>
    <w:multiLevelType w:val="hybridMultilevel"/>
    <w:tmpl w:val="1ACC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01C27"/>
    <w:multiLevelType w:val="hybridMultilevel"/>
    <w:tmpl w:val="68782E2A"/>
    <w:lvl w:ilvl="0" w:tplc="2564FAC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B8316D2"/>
    <w:multiLevelType w:val="hybridMultilevel"/>
    <w:tmpl w:val="06125E7A"/>
    <w:lvl w:ilvl="0" w:tplc="875C39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D4238"/>
    <w:multiLevelType w:val="hybridMultilevel"/>
    <w:tmpl w:val="CD7232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30CB0"/>
    <w:multiLevelType w:val="hybridMultilevel"/>
    <w:tmpl w:val="C5920D8C"/>
    <w:lvl w:ilvl="0" w:tplc="EFC6FCF8">
      <w:start w:val="1"/>
      <w:numFmt w:val="bullet"/>
      <w:lvlText w:val=" "/>
      <w:lvlJc w:val="left"/>
      <w:pPr>
        <w:tabs>
          <w:tab w:val="num" w:pos="720"/>
        </w:tabs>
        <w:ind w:left="720" w:hanging="360"/>
      </w:pPr>
      <w:rPr>
        <w:rFonts w:ascii="Calibri" w:hAnsi="Calibri" w:hint="default"/>
      </w:rPr>
    </w:lvl>
    <w:lvl w:ilvl="1" w:tplc="7A6C09BC" w:tentative="1">
      <w:start w:val="1"/>
      <w:numFmt w:val="bullet"/>
      <w:lvlText w:val=" "/>
      <w:lvlJc w:val="left"/>
      <w:pPr>
        <w:tabs>
          <w:tab w:val="num" w:pos="1440"/>
        </w:tabs>
        <w:ind w:left="1440" w:hanging="360"/>
      </w:pPr>
      <w:rPr>
        <w:rFonts w:ascii="Calibri" w:hAnsi="Calibri" w:hint="default"/>
      </w:rPr>
    </w:lvl>
    <w:lvl w:ilvl="2" w:tplc="CEE268EE" w:tentative="1">
      <w:start w:val="1"/>
      <w:numFmt w:val="bullet"/>
      <w:lvlText w:val=" "/>
      <w:lvlJc w:val="left"/>
      <w:pPr>
        <w:tabs>
          <w:tab w:val="num" w:pos="2160"/>
        </w:tabs>
        <w:ind w:left="2160" w:hanging="360"/>
      </w:pPr>
      <w:rPr>
        <w:rFonts w:ascii="Calibri" w:hAnsi="Calibri" w:hint="default"/>
      </w:rPr>
    </w:lvl>
    <w:lvl w:ilvl="3" w:tplc="0522654A" w:tentative="1">
      <w:start w:val="1"/>
      <w:numFmt w:val="bullet"/>
      <w:lvlText w:val=" "/>
      <w:lvlJc w:val="left"/>
      <w:pPr>
        <w:tabs>
          <w:tab w:val="num" w:pos="2880"/>
        </w:tabs>
        <w:ind w:left="2880" w:hanging="360"/>
      </w:pPr>
      <w:rPr>
        <w:rFonts w:ascii="Calibri" w:hAnsi="Calibri" w:hint="default"/>
      </w:rPr>
    </w:lvl>
    <w:lvl w:ilvl="4" w:tplc="523E7474" w:tentative="1">
      <w:start w:val="1"/>
      <w:numFmt w:val="bullet"/>
      <w:lvlText w:val=" "/>
      <w:lvlJc w:val="left"/>
      <w:pPr>
        <w:tabs>
          <w:tab w:val="num" w:pos="3600"/>
        </w:tabs>
        <w:ind w:left="3600" w:hanging="360"/>
      </w:pPr>
      <w:rPr>
        <w:rFonts w:ascii="Calibri" w:hAnsi="Calibri" w:hint="default"/>
      </w:rPr>
    </w:lvl>
    <w:lvl w:ilvl="5" w:tplc="0B0C39F0" w:tentative="1">
      <w:start w:val="1"/>
      <w:numFmt w:val="bullet"/>
      <w:lvlText w:val=" "/>
      <w:lvlJc w:val="left"/>
      <w:pPr>
        <w:tabs>
          <w:tab w:val="num" w:pos="4320"/>
        </w:tabs>
        <w:ind w:left="4320" w:hanging="360"/>
      </w:pPr>
      <w:rPr>
        <w:rFonts w:ascii="Calibri" w:hAnsi="Calibri" w:hint="default"/>
      </w:rPr>
    </w:lvl>
    <w:lvl w:ilvl="6" w:tplc="F3BE72CA" w:tentative="1">
      <w:start w:val="1"/>
      <w:numFmt w:val="bullet"/>
      <w:lvlText w:val=" "/>
      <w:lvlJc w:val="left"/>
      <w:pPr>
        <w:tabs>
          <w:tab w:val="num" w:pos="5040"/>
        </w:tabs>
        <w:ind w:left="5040" w:hanging="360"/>
      </w:pPr>
      <w:rPr>
        <w:rFonts w:ascii="Calibri" w:hAnsi="Calibri" w:hint="default"/>
      </w:rPr>
    </w:lvl>
    <w:lvl w:ilvl="7" w:tplc="1A06E290" w:tentative="1">
      <w:start w:val="1"/>
      <w:numFmt w:val="bullet"/>
      <w:lvlText w:val=" "/>
      <w:lvlJc w:val="left"/>
      <w:pPr>
        <w:tabs>
          <w:tab w:val="num" w:pos="5760"/>
        </w:tabs>
        <w:ind w:left="5760" w:hanging="360"/>
      </w:pPr>
      <w:rPr>
        <w:rFonts w:ascii="Calibri" w:hAnsi="Calibri" w:hint="default"/>
      </w:rPr>
    </w:lvl>
    <w:lvl w:ilvl="8" w:tplc="295409D8" w:tentative="1">
      <w:start w:val="1"/>
      <w:numFmt w:val="bullet"/>
      <w:lvlText w:val=" "/>
      <w:lvlJc w:val="left"/>
      <w:pPr>
        <w:tabs>
          <w:tab w:val="num" w:pos="6480"/>
        </w:tabs>
        <w:ind w:left="6480" w:hanging="360"/>
      </w:pPr>
      <w:rPr>
        <w:rFonts w:ascii="Calibri" w:hAnsi="Calibri" w:hint="default"/>
      </w:rPr>
    </w:lvl>
  </w:abstractNum>
  <w:abstractNum w:abstractNumId="9">
    <w:nsid w:val="3BBE3111"/>
    <w:multiLevelType w:val="hybridMultilevel"/>
    <w:tmpl w:val="221C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982808"/>
    <w:multiLevelType w:val="hybridMultilevel"/>
    <w:tmpl w:val="E5044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A23030"/>
    <w:multiLevelType w:val="hybridMultilevel"/>
    <w:tmpl w:val="9C04C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2A53C1"/>
    <w:multiLevelType w:val="hybridMultilevel"/>
    <w:tmpl w:val="EBC0A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791CEE"/>
    <w:multiLevelType w:val="hybridMultilevel"/>
    <w:tmpl w:val="043E1DF6"/>
    <w:lvl w:ilvl="0" w:tplc="8A0EC198">
      <w:start w:val="1"/>
      <w:numFmt w:val="lowerLetter"/>
      <w:lvlText w:val="(%1)"/>
      <w:lvlJc w:val="left"/>
      <w:pPr>
        <w:ind w:left="77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4">
    <w:nsid w:val="5D73458A"/>
    <w:multiLevelType w:val="hybridMultilevel"/>
    <w:tmpl w:val="31F61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4805DD"/>
    <w:multiLevelType w:val="hybridMultilevel"/>
    <w:tmpl w:val="7A9653FC"/>
    <w:lvl w:ilvl="0" w:tplc="37D091F8">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nsid w:val="75300954"/>
    <w:multiLevelType w:val="hybridMultilevel"/>
    <w:tmpl w:val="EEB2D098"/>
    <w:lvl w:ilvl="0" w:tplc="3476E60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C64124"/>
    <w:multiLevelType w:val="hybridMultilevel"/>
    <w:tmpl w:val="9B5ED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9A5035"/>
    <w:multiLevelType w:val="hybridMultilevel"/>
    <w:tmpl w:val="A81EF8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5"/>
  </w:num>
  <w:num w:numId="3">
    <w:abstractNumId w:val="8"/>
  </w:num>
  <w:num w:numId="4">
    <w:abstractNumId w:val="17"/>
  </w:num>
  <w:num w:numId="5">
    <w:abstractNumId w:val="18"/>
  </w:num>
  <w:num w:numId="6">
    <w:abstractNumId w:val="15"/>
  </w:num>
  <w:num w:numId="7">
    <w:abstractNumId w:val="3"/>
  </w:num>
  <w:num w:numId="8">
    <w:abstractNumId w:val="9"/>
  </w:num>
  <w:num w:numId="9">
    <w:abstractNumId w:val="11"/>
  </w:num>
  <w:num w:numId="10">
    <w:abstractNumId w:val="4"/>
  </w:num>
  <w:num w:numId="11">
    <w:abstractNumId w:val="10"/>
  </w:num>
  <w:num w:numId="12">
    <w:abstractNumId w:val="6"/>
  </w:num>
  <w:num w:numId="13">
    <w:abstractNumId w:val="14"/>
  </w:num>
  <w:num w:numId="14">
    <w:abstractNumId w:val="16"/>
  </w:num>
  <w:num w:numId="15">
    <w:abstractNumId w:val="7"/>
  </w:num>
  <w:num w:numId="16">
    <w:abstractNumId w:val="12"/>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90"/>
    <w:rsid w:val="0000185B"/>
    <w:rsid w:val="0000319A"/>
    <w:rsid w:val="00006F93"/>
    <w:rsid w:val="00007117"/>
    <w:rsid w:val="000202BD"/>
    <w:rsid w:val="00022DFB"/>
    <w:rsid w:val="000242C6"/>
    <w:rsid w:val="00024E48"/>
    <w:rsid w:val="000339B9"/>
    <w:rsid w:val="000377A8"/>
    <w:rsid w:val="00042A2A"/>
    <w:rsid w:val="00042E6B"/>
    <w:rsid w:val="0005023F"/>
    <w:rsid w:val="000502F4"/>
    <w:rsid w:val="00052F52"/>
    <w:rsid w:val="000605EC"/>
    <w:rsid w:val="000873E6"/>
    <w:rsid w:val="000A2DC6"/>
    <w:rsid w:val="000A5E5C"/>
    <w:rsid w:val="000A5F61"/>
    <w:rsid w:val="000A71CD"/>
    <w:rsid w:val="000B245B"/>
    <w:rsid w:val="000B277E"/>
    <w:rsid w:val="000B5EC9"/>
    <w:rsid w:val="000C20AF"/>
    <w:rsid w:val="000D5164"/>
    <w:rsid w:val="000E45B3"/>
    <w:rsid w:val="000E7863"/>
    <w:rsid w:val="000F1D68"/>
    <w:rsid w:val="000F35B2"/>
    <w:rsid w:val="000F7762"/>
    <w:rsid w:val="00110A9A"/>
    <w:rsid w:val="001112FB"/>
    <w:rsid w:val="001154A1"/>
    <w:rsid w:val="001179AF"/>
    <w:rsid w:val="00117D71"/>
    <w:rsid w:val="00151D78"/>
    <w:rsid w:val="00157A0B"/>
    <w:rsid w:val="0016097F"/>
    <w:rsid w:val="001616BD"/>
    <w:rsid w:val="001761C0"/>
    <w:rsid w:val="00181D12"/>
    <w:rsid w:val="00183005"/>
    <w:rsid w:val="00192BE6"/>
    <w:rsid w:val="0019788D"/>
    <w:rsid w:val="001B7079"/>
    <w:rsid w:val="001C1AA2"/>
    <w:rsid w:val="001C36AE"/>
    <w:rsid w:val="001C4E1C"/>
    <w:rsid w:val="001C4F66"/>
    <w:rsid w:val="001C4F91"/>
    <w:rsid w:val="001C741A"/>
    <w:rsid w:val="001C75DF"/>
    <w:rsid w:val="001D5B18"/>
    <w:rsid w:val="001D5ED9"/>
    <w:rsid w:val="001F1A38"/>
    <w:rsid w:val="001F35B8"/>
    <w:rsid w:val="001F395F"/>
    <w:rsid w:val="002042CA"/>
    <w:rsid w:val="002050CF"/>
    <w:rsid w:val="002101CE"/>
    <w:rsid w:val="0021050A"/>
    <w:rsid w:val="002130F3"/>
    <w:rsid w:val="0022604B"/>
    <w:rsid w:val="002301A5"/>
    <w:rsid w:val="00235CD0"/>
    <w:rsid w:val="00240414"/>
    <w:rsid w:val="0024539E"/>
    <w:rsid w:val="00254EA2"/>
    <w:rsid w:val="00255134"/>
    <w:rsid w:val="002622A5"/>
    <w:rsid w:val="002669B6"/>
    <w:rsid w:val="0027627B"/>
    <w:rsid w:val="00277FB9"/>
    <w:rsid w:val="00287076"/>
    <w:rsid w:val="00291D57"/>
    <w:rsid w:val="002975D9"/>
    <w:rsid w:val="002B31B1"/>
    <w:rsid w:val="002B7749"/>
    <w:rsid w:val="002C4790"/>
    <w:rsid w:val="002C778B"/>
    <w:rsid w:val="002D689F"/>
    <w:rsid w:val="002D6AC9"/>
    <w:rsid w:val="002D6BED"/>
    <w:rsid w:val="0030397C"/>
    <w:rsid w:val="003120A3"/>
    <w:rsid w:val="003176F2"/>
    <w:rsid w:val="00317F65"/>
    <w:rsid w:val="00332D8F"/>
    <w:rsid w:val="00341D66"/>
    <w:rsid w:val="003420FB"/>
    <w:rsid w:val="00346661"/>
    <w:rsid w:val="00357076"/>
    <w:rsid w:val="003721F0"/>
    <w:rsid w:val="00374645"/>
    <w:rsid w:val="00377E1F"/>
    <w:rsid w:val="00382D13"/>
    <w:rsid w:val="003851EE"/>
    <w:rsid w:val="00395DBF"/>
    <w:rsid w:val="003A504C"/>
    <w:rsid w:val="003B066C"/>
    <w:rsid w:val="003B677B"/>
    <w:rsid w:val="003B79DF"/>
    <w:rsid w:val="003D01CF"/>
    <w:rsid w:val="003E16A7"/>
    <w:rsid w:val="003F07EF"/>
    <w:rsid w:val="00401000"/>
    <w:rsid w:val="00401E3A"/>
    <w:rsid w:val="004067BF"/>
    <w:rsid w:val="004121FE"/>
    <w:rsid w:val="0041655F"/>
    <w:rsid w:val="00422784"/>
    <w:rsid w:val="00424D3B"/>
    <w:rsid w:val="00425FF3"/>
    <w:rsid w:val="00431943"/>
    <w:rsid w:val="004334D9"/>
    <w:rsid w:val="00442179"/>
    <w:rsid w:val="0045073E"/>
    <w:rsid w:val="00461E03"/>
    <w:rsid w:val="0047331A"/>
    <w:rsid w:val="00477F41"/>
    <w:rsid w:val="004858D4"/>
    <w:rsid w:val="00490628"/>
    <w:rsid w:val="0049650C"/>
    <w:rsid w:val="004A2114"/>
    <w:rsid w:val="004B48BA"/>
    <w:rsid w:val="004C09E2"/>
    <w:rsid w:val="004C3005"/>
    <w:rsid w:val="004C4672"/>
    <w:rsid w:val="004F45A4"/>
    <w:rsid w:val="0050340A"/>
    <w:rsid w:val="00503A4D"/>
    <w:rsid w:val="0050592C"/>
    <w:rsid w:val="005168BB"/>
    <w:rsid w:val="00516A66"/>
    <w:rsid w:val="00521C6B"/>
    <w:rsid w:val="0052734C"/>
    <w:rsid w:val="00527693"/>
    <w:rsid w:val="00531076"/>
    <w:rsid w:val="00551098"/>
    <w:rsid w:val="0055222D"/>
    <w:rsid w:val="005558F7"/>
    <w:rsid w:val="00570665"/>
    <w:rsid w:val="0057239D"/>
    <w:rsid w:val="00575096"/>
    <w:rsid w:val="00584052"/>
    <w:rsid w:val="00584545"/>
    <w:rsid w:val="005865B9"/>
    <w:rsid w:val="00587501"/>
    <w:rsid w:val="005A0181"/>
    <w:rsid w:val="005B6B53"/>
    <w:rsid w:val="005B73B5"/>
    <w:rsid w:val="005C6231"/>
    <w:rsid w:val="005C7642"/>
    <w:rsid w:val="005C7E63"/>
    <w:rsid w:val="005D3196"/>
    <w:rsid w:val="005D5555"/>
    <w:rsid w:val="005E2C5B"/>
    <w:rsid w:val="005E4D21"/>
    <w:rsid w:val="005F534D"/>
    <w:rsid w:val="006033D2"/>
    <w:rsid w:val="00614DBF"/>
    <w:rsid w:val="00620AB3"/>
    <w:rsid w:val="006239B8"/>
    <w:rsid w:val="00632807"/>
    <w:rsid w:val="00636C4C"/>
    <w:rsid w:val="00642A44"/>
    <w:rsid w:val="00654AB4"/>
    <w:rsid w:val="0066256A"/>
    <w:rsid w:val="00684163"/>
    <w:rsid w:val="006956AF"/>
    <w:rsid w:val="006964E3"/>
    <w:rsid w:val="00696E41"/>
    <w:rsid w:val="0069721B"/>
    <w:rsid w:val="006A052F"/>
    <w:rsid w:val="006A29A7"/>
    <w:rsid w:val="006A7DC6"/>
    <w:rsid w:val="006B037E"/>
    <w:rsid w:val="006F506F"/>
    <w:rsid w:val="00703282"/>
    <w:rsid w:val="0071058D"/>
    <w:rsid w:val="00710710"/>
    <w:rsid w:val="0072549C"/>
    <w:rsid w:val="00726385"/>
    <w:rsid w:val="00732F84"/>
    <w:rsid w:val="007518A9"/>
    <w:rsid w:val="00752448"/>
    <w:rsid w:val="00754464"/>
    <w:rsid w:val="00755D6D"/>
    <w:rsid w:val="007677E7"/>
    <w:rsid w:val="00774F89"/>
    <w:rsid w:val="007809C1"/>
    <w:rsid w:val="00784010"/>
    <w:rsid w:val="007927E3"/>
    <w:rsid w:val="00792D5A"/>
    <w:rsid w:val="007A46B0"/>
    <w:rsid w:val="007A6FE9"/>
    <w:rsid w:val="007B3A40"/>
    <w:rsid w:val="007E5D59"/>
    <w:rsid w:val="007F0ACE"/>
    <w:rsid w:val="00800FB3"/>
    <w:rsid w:val="00817A65"/>
    <w:rsid w:val="00821A9F"/>
    <w:rsid w:val="00821B4B"/>
    <w:rsid w:val="00825807"/>
    <w:rsid w:val="00831513"/>
    <w:rsid w:val="00833AE6"/>
    <w:rsid w:val="0083450B"/>
    <w:rsid w:val="008472D2"/>
    <w:rsid w:val="0085355B"/>
    <w:rsid w:val="00855C2A"/>
    <w:rsid w:val="00861A86"/>
    <w:rsid w:val="00862872"/>
    <w:rsid w:val="008800FC"/>
    <w:rsid w:val="00881F73"/>
    <w:rsid w:val="008822FE"/>
    <w:rsid w:val="0088302B"/>
    <w:rsid w:val="008834A7"/>
    <w:rsid w:val="00884A22"/>
    <w:rsid w:val="00887D54"/>
    <w:rsid w:val="00891D78"/>
    <w:rsid w:val="0089619A"/>
    <w:rsid w:val="008A40E6"/>
    <w:rsid w:val="008A664A"/>
    <w:rsid w:val="008A70CE"/>
    <w:rsid w:val="008B4891"/>
    <w:rsid w:val="008C76DB"/>
    <w:rsid w:val="008D3A75"/>
    <w:rsid w:val="008D7182"/>
    <w:rsid w:val="008E5FA2"/>
    <w:rsid w:val="008E6FFF"/>
    <w:rsid w:val="008F15CC"/>
    <w:rsid w:val="008F76C4"/>
    <w:rsid w:val="008F77B9"/>
    <w:rsid w:val="009078F9"/>
    <w:rsid w:val="00911AD1"/>
    <w:rsid w:val="00915FD4"/>
    <w:rsid w:val="00925572"/>
    <w:rsid w:val="009303F4"/>
    <w:rsid w:val="0095343F"/>
    <w:rsid w:val="00953F2A"/>
    <w:rsid w:val="009610F8"/>
    <w:rsid w:val="0096170B"/>
    <w:rsid w:val="00974CD2"/>
    <w:rsid w:val="0098553C"/>
    <w:rsid w:val="00990DAD"/>
    <w:rsid w:val="00991E7A"/>
    <w:rsid w:val="00993714"/>
    <w:rsid w:val="009945F8"/>
    <w:rsid w:val="009B364D"/>
    <w:rsid w:val="009C3270"/>
    <w:rsid w:val="009C5352"/>
    <w:rsid w:val="009C7221"/>
    <w:rsid w:val="009D511F"/>
    <w:rsid w:val="009D7142"/>
    <w:rsid w:val="009E2CAA"/>
    <w:rsid w:val="009E34C4"/>
    <w:rsid w:val="009E502E"/>
    <w:rsid w:val="009F2DBD"/>
    <w:rsid w:val="009F7A01"/>
    <w:rsid w:val="00A0265A"/>
    <w:rsid w:val="00A0515C"/>
    <w:rsid w:val="00A3018B"/>
    <w:rsid w:val="00A324F4"/>
    <w:rsid w:val="00A413F0"/>
    <w:rsid w:val="00A4314D"/>
    <w:rsid w:val="00A458EE"/>
    <w:rsid w:val="00A45B13"/>
    <w:rsid w:val="00A45EA2"/>
    <w:rsid w:val="00A4717D"/>
    <w:rsid w:val="00A5447A"/>
    <w:rsid w:val="00A54AAA"/>
    <w:rsid w:val="00A54B7E"/>
    <w:rsid w:val="00A560E8"/>
    <w:rsid w:val="00A61EA9"/>
    <w:rsid w:val="00A63614"/>
    <w:rsid w:val="00A7433F"/>
    <w:rsid w:val="00A85BFB"/>
    <w:rsid w:val="00A9347A"/>
    <w:rsid w:val="00A959B9"/>
    <w:rsid w:val="00AA6999"/>
    <w:rsid w:val="00AB04A5"/>
    <w:rsid w:val="00AB076C"/>
    <w:rsid w:val="00AB417D"/>
    <w:rsid w:val="00AE0E3B"/>
    <w:rsid w:val="00AE72B2"/>
    <w:rsid w:val="00B06A23"/>
    <w:rsid w:val="00B236FA"/>
    <w:rsid w:val="00B279B1"/>
    <w:rsid w:val="00B327F2"/>
    <w:rsid w:val="00B3407C"/>
    <w:rsid w:val="00B34645"/>
    <w:rsid w:val="00B36359"/>
    <w:rsid w:val="00B4566E"/>
    <w:rsid w:val="00B4697F"/>
    <w:rsid w:val="00B82700"/>
    <w:rsid w:val="00B9712A"/>
    <w:rsid w:val="00BB7B5B"/>
    <w:rsid w:val="00BC6CA8"/>
    <w:rsid w:val="00BE5C7B"/>
    <w:rsid w:val="00BF1A15"/>
    <w:rsid w:val="00BF21DC"/>
    <w:rsid w:val="00BF58BC"/>
    <w:rsid w:val="00C01AA4"/>
    <w:rsid w:val="00C05C7F"/>
    <w:rsid w:val="00C127A0"/>
    <w:rsid w:val="00C12E88"/>
    <w:rsid w:val="00C20AFE"/>
    <w:rsid w:val="00C26096"/>
    <w:rsid w:val="00C27A29"/>
    <w:rsid w:val="00C347E7"/>
    <w:rsid w:val="00C41CD2"/>
    <w:rsid w:val="00C5035A"/>
    <w:rsid w:val="00C51EFF"/>
    <w:rsid w:val="00C55292"/>
    <w:rsid w:val="00C5767F"/>
    <w:rsid w:val="00C7703D"/>
    <w:rsid w:val="00C77EAE"/>
    <w:rsid w:val="00C970F2"/>
    <w:rsid w:val="00CD39B5"/>
    <w:rsid w:val="00CD4176"/>
    <w:rsid w:val="00CE2B70"/>
    <w:rsid w:val="00CE2B83"/>
    <w:rsid w:val="00CE6124"/>
    <w:rsid w:val="00CF4157"/>
    <w:rsid w:val="00CF7C00"/>
    <w:rsid w:val="00D02F96"/>
    <w:rsid w:val="00D104AE"/>
    <w:rsid w:val="00D1405D"/>
    <w:rsid w:val="00D33C29"/>
    <w:rsid w:val="00D34015"/>
    <w:rsid w:val="00D4373D"/>
    <w:rsid w:val="00D51C1A"/>
    <w:rsid w:val="00D60A45"/>
    <w:rsid w:val="00D62555"/>
    <w:rsid w:val="00D628F3"/>
    <w:rsid w:val="00D6543F"/>
    <w:rsid w:val="00D65495"/>
    <w:rsid w:val="00D7134C"/>
    <w:rsid w:val="00D72564"/>
    <w:rsid w:val="00D773BD"/>
    <w:rsid w:val="00D85259"/>
    <w:rsid w:val="00D961BD"/>
    <w:rsid w:val="00DB7417"/>
    <w:rsid w:val="00DC08D9"/>
    <w:rsid w:val="00DD1868"/>
    <w:rsid w:val="00DE2854"/>
    <w:rsid w:val="00DE441C"/>
    <w:rsid w:val="00DE63D6"/>
    <w:rsid w:val="00DE7230"/>
    <w:rsid w:val="00DF02BB"/>
    <w:rsid w:val="00DF2A82"/>
    <w:rsid w:val="00DF4812"/>
    <w:rsid w:val="00E12781"/>
    <w:rsid w:val="00E162B1"/>
    <w:rsid w:val="00E25680"/>
    <w:rsid w:val="00E309A7"/>
    <w:rsid w:val="00E346E7"/>
    <w:rsid w:val="00E43C00"/>
    <w:rsid w:val="00E53E12"/>
    <w:rsid w:val="00E55664"/>
    <w:rsid w:val="00E63377"/>
    <w:rsid w:val="00E9405A"/>
    <w:rsid w:val="00E94684"/>
    <w:rsid w:val="00EA6D6C"/>
    <w:rsid w:val="00EB3527"/>
    <w:rsid w:val="00EC1084"/>
    <w:rsid w:val="00EC2B12"/>
    <w:rsid w:val="00ED0191"/>
    <w:rsid w:val="00ED0BA2"/>
    <w:rsid w:val="00ED1AC9"/>
    <w:rsid w:val="00ED6E50"/>
    <w:rsid w:val="00ED714A"/>
    <w:rsid w:val="00ED786E"/>
    <w:rsid w:val="00EE7BD7"/>
    <w:rsid w:val="00EF1685"/>
    <w:rsid w:val="00F041E0"/>
    <w:rsid w:val="00F14F39"/>
    <w:rsid w:val="00F210DD"/>
    <w:rsid w:val="00F2211B"/>
    <w:rsid w:val="00F270F8"/>
    <w:rsid w:val="00F27CE0"/>
    <w:rsid w:val="00F55B14"/>
    <w:rsid w:val="00F712BD"/>
    <w:rsid w:val="00F74566"/>
    <w:rsid w:val="00F81B4C"/>
    <w:rsid w:val="00F860F1"/>
    <w:rsid w:val="00F90407"/>
    <w:rsid w:val="00F91A74"/>
    <w:rsid w:val="00FA0398"/>
    <w:rsid w:val="00FA6BC2"/>
    <w:rsid w:val="00FB05C0"/>
    <w:rsid w:val="00FB22E7"/>
    <w:rsid w:val="00FC0371"/>
    <w:rsid w:val="00FC0B99"/>
    <w:rsid w:val="00FD1E46"/>
    <w:rsid w:val="00FE32E4"/>
    <w:rsid w:val="00FE5A56"/>
    <w:rsid w:val="00FF0F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84B45"/>
  <w15:docId w15:val="{090FB024-49F3-42DA-A8D9-099517C4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22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5222D"/>
  </w:style>
  <w:style w:type="paragraph" w:styleId="Footer">
    <w:name w:val="footer"/>
    <w:basedOn w:val="Normal"/>
    <w:link w:val="FooterChar"/>
    <w:uiPriority w:val="99"/>
    <w:unhideWhenUsed/>
    <w:rsid w:val="0055222D"/>
    <w:pPr>
      <w:tabs>
        <w:tab w:val="center" w:pos="4819"/>
        <w:tab w:val="right" w:pos="9638"/>
      </w:tabs>
      <w:spacing w:after="0" w:line="240" w:lineRule="auto"/>
    </w:pPr>
  </w:style>
  <w:style w:type="character" w:customStyle="1" w:styleId="FooterChar">
    <w:name w:val="Footer Char"/>
    <w:basedOn w:val="DefaultParagraphFont"/>
    <w:link w:val="Footer"/>
    <w:uiPriority w:val="99"/>
    <w:rsid w:val="0055222D"/>
  </w:style>
  <w:style w:type="character" w:styleId="CommentReference">
    <w:name w:val="annotation reference"/>
    <w:basedOn w:val="DefaultParagraphFont"/>
    <w:uiPriority w:val="99"/>
    <w:semiHidden/>
    <w:unhideWhenUsed/>
    <w:rsid w:val="0024539E"/>
    <w:rPr>
      <w:sz w:val="16"/>
      <w:szCs w:val="16"/>
    </w:rPr>
  </w:style>
  <w:style w:type="paragraph" w:styleId="CommentText">
    <w:name w:val="annotation text"/>
    <w:basedOn w:val="Normal"/>
    <w:link w:val="CommentTextChar"/>
    <w:uiPriority w:val="99"/>
    <w:unhideWhenUsed/>
    <w:rsid w:val="0024539E"/>
    <w:pPr>
      <w:spacing w:line="240" w:lineRule="auto"/>
    </w:pPr>
    <w:rPr>
      <w:sz w:val="20"/>
      <w:szCs w:val="20"/>
    </w:rPr>
  </w:style>
  <w:style w:type="character" w:customStyle="1" w:styleId="CommentTextChar">
    <w:name w:val="Comment Text Char"/>
    <w:basedOn w:val="DefaultParagraphFont"/>
    <w:link w:val="CommentText"/>
    <w:uiPriority w:val="99"/>
    <w:rsid w:val="0024539E"/>
    <w:rPr>
      <w:sz w:val="20"/>
      <w:szCs w:val="20"/>
    </w:rPr>
  </w:style>
  <w:style w:type="paragraph" w:styleId="CommentSubject">
    <w:name w:val="annotation subject"/>
    <w:basedOn w:val="CommentText"/>
    <w:next w:val="CommentText"/>
    <w:link w:val="CommentSubjectChar"/>
    <w:uiPriority w:val="99"/>
    <w:semiHidden/>
    <w:unhideWhenUsed/>
    <w:rsid w:val="0024539E"/>
    <w:rPr>
      <w:b/>
      <w:bCs/>
    </w:rPr>
  </w:style>
  <w:style w:type="character" w:customStyle="1" w:styleId="CommentSubjectChar">
    <w:name w:val="Comment Subject Char"/>
    <w:basedOn w:val="CommentTextChar"/>
    <w:link w:val="CommentSubject"/>
    <w:uiPriority w:val="99"/>
    <w:semiHidden/>
    <w:rsid w:val="0024539E"/>
    <w:rPr>
      <w:b/>
      <w:bCs/>
      <w:sz w:val="20"/>
      <w:szCs w:val="20"/>
    </w:rPr>
  </w:style>
  <w:style w:type="paragraph" w:styleId="BalloonText">
    <w:name w:val="Balloon Text"/>
    <w:basedOn w:val="Normal"/>
    <w:link w:val="BalloonTextChar"/>
    <w:uiPriority w:val="99"/>
    <w:semiHidden/>
    <w:unhideWhenUsed/>
    <w:rsid w:val="00245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9E"/>
    <w:rPr>
      <w:rFonts w:ascii="Tahoma" w:hAnsi="Tahoma" w:cs="Tahoma"/>
      <w:sz w:val="16"/>
      <w:szCs w:val="16"/>
    </w:rPr>
  </w:style>
  <w:style w:type="paragraph" w:styleId="ListParagraph">
    <w:name w:val="List Paragraph"/>
    <w:basedOn w:val="Normal"/>
    <w:uiPriority w:val="34"/>
    <w:qFormat/>
    <w:rsid w:val="005F534D"/>
    <w:pPr>
      <w:ind w:left="720"/>
      <w:contextualSpacing/>
    </w:pPr>
    <w:rPr>
      <w:lang w:val="en-GB"/>
    </w:rPr>
  </w:style>
  <w:style w:type="character" w:customStyle="1" w:styleId="Style1">
    <w:name w:val="Style1"/>
    <w:basedOn w:val="DefaultParagraphFont"/>
    <w:uiPriority w:val="1"/>
    <w:rsid w:val="001D5ED9"/>
    <w:rPr>
      <w:rFonts w:ascii="Times New Roman" w:hAnsi="Times New Roman"/>
      <w:color w:val="4A442A" w:themeColor="background2" w:themeShade="40"/>
      <w:sz w:val="22"/>
    </w:rPr>
  </w:style>
  <w:style w:type="paragraph" w:styleId="HTMLPreformatted">
    <w:name w:val="HTML Preformatted"/>
    <w:basedOn w:val="Normal"/>
    <w:link w:val="HTMLPreformattedChar"/>
    <w:uiPriority w:val="99"/>
    <w:semiHidden/>
    <w:unhideWhenUsed/>
    <w:rsid w:val="00D7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72564"/>
    <w:rPr>
      <w:rFonts w:ascii="Courier New" w:eastAsia="Times New Roman" w:hAnsi="Courier New" w:cs="Courier New"/>
      <w:sz w:val="20"/>
      <w:szCs w:val="20"/>
      <w:lang w:val="en-US"/>
    </w:rPr>
  </w:style>
  <w:style w:type="paragraph" w:styleId="Title">
    <w:name w:val="Title"/>
    <w:basedOn w:val="Normal"/>
    <w:link w:val="TitleChar"/>
    <w:uiPriority w:val="99"/>
    <w:qFormat/>
    <w:rsid w:val="00D4373D"/>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en-GB"/>
    </w:rPr>
  </w:style>
  <w:style w:type="character" w:customStyle="1" w:styleId="TitleChar">
    <w:name w:val="Title Char"/>
    <w:basedOn w:val="DefaultParagraphFont"/>
    <w:link w:val="Title"/>
    <w:uiPriority w:val="99"/>
    <w:rsid w:val="00D4373D"/>
    <w:rPr>
      <w:rFonts w:ascii="Times New Roman" w:eastAsia="Times New Roman" w:hAnsi="Times New Roman" w:cs="Times New Roman"/>
      <w:b/>
      <w:sz w:val="48"/>
      <w:szCs w:val="20"/>
      <w:lang w:val="en-US" w:eastAsia="en-GB"/>
    </w:rPr>
  </w:style>
  <w:style w:type="paragraph" w:customStyle="1" w:styleId="Default">
    <w:name w:val="Default"/>
    <w:rsid w:val="00BE5C7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itulliChar">
    <w:name w:val="Titulli Char"/>
    <w:link w:val="Titulli"/>
    <w:uiPriority w:val="99"/>
    <w:locked/>
    <w:rsid w:val="00642A44"/>
    <w:rPr>
      <w:rFonts w:ascii="CG Times" w:hAnsi="CG Times"/>
      <w:b/>
      <w:caps/>
    </w:rPr>
  </w:style>
  <w:style w:type="paragraph" w:customStyle="1" w:styleId="Titulli">
    <w:name w:val="Titulli"/>
    <w:next w:val="Normal"/>
    <w:link w:val="TitulliChar"/>
    <w:uiPriority w:val="99"/>
    <w:rsid w:val="00642A44"/>
    <w:pPr>
      <w:keepNext/>
      <w:widowControl w:val="0"/>
      <w:spacing w:after="0" w:line="240" w:lineRule="auto"/>
      <w:jc w:val="center"/>
      <w:outlineLvl w:val="1"/>
    </w:pPr>
    <w:rPr>
      <w:rFonts w:ascii="CG Times" w:hAnsi="CG Times"/>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0613">
      <w:bodyDiv w:val="1"/>
      <w:marLeft w:val="0"/>
      <w:marRight w:val="0"/>
      <w:marTop w:val="0"/>
      <w:marBottom w:val="0"/>
      <w:divBdr>
        <w:top w:val="none" w:sz="0" w:space="0" w:color="auto"/>
        <w:left w:val="none" w:sz="0" w:space="0" w:color="auto"/>
        <w:bottom w:val="none" w:sz="0" w:space="0" w:color="auto"/>
        <w:right w:val="none" w:sz="0" w:space="0" w:color="auto"/>
      </w:divBdr>
    </w:div>
    <w:div w:id="335887352">
      <w:bodyDiv w:val="1"/>
      <w:marLeft w:val="0"/>
      <w:marRight w:val="0"/>
      <w:marTop w:val="0"/>
      <w:marBottom w:val="0"/>
      <w:divBdr>
        <w:top w:val="none" w:sz="0" w:space="0" w:color="auto"/>
        <w:left w:val="none" w:sz="0" w:space="0" w:color="auto"/>
        <w:bottom w:val="none" w:sz="0" w:space="0" w:color="auto"/>
        <w:right w:val="none" w:sz="0" w:space="0" w:color="auto"/>
      </w:divBdr>
    </w:div>
    <w:div w:id="495413407">
      <w:bodyDiv w:val="1"/>
      <w:marLeft w:val="0"/>
      <w:marRight w:val="0"/>
      <w:marTop w:val="0"/>
      <w:marBottom w:val="0"/>
      <w:divBdr>
        <w:top w:val="none" w:sz="0" w:space="0" w:color="auto"/>
        <w:left w:val="none" w:sz="0" w:space="0" w:color="auto"/>
        <w:bottom w:val="none" w:sz="0" w:space="0" w:color="auto"/>
        <w:right w:val="none" w:sz="0" w:space="0" w:color="auto"/>
      </w:divBdr>
      <w:divsChild>
        <w:div w:id="500966960">
          <w:marLeft w:val="0"/>
          <w:marRight w:val="0"/>
          <w:marTop w:val="0"/>
          <w:marBottom w:val="0"/>
          <w:divBdr>
            <w:top w:val="none" w:sz="0" w:space="0" w:color="auto"/>
            <w:left w:val="none" w:sz="0" w:space="0" w:color="auto"/>
            <w:bottom w:val="none" w:sz="0" w:space="0" w:color="auto"/>
            <w:right w:val="none" w:sz="0" w:space="0" w:color="auto"/>
          </w:divBdr>
          <w:divsChild>
            <w:div w:id="1402869639">
              <w:marLeft w:val="0"/>
              <w:marRight w:val="0"/>
              <w:marTop w:val="0"/>
              <w:marBottom w:val="0"/>
              <w:divBdr>
                <w:top w:val="none" w:sz="0" w:space="0" w:color="auto"/>
                <w:left w:val="none" w:sz="0" w:space="0" w:color="auto"/>
                <w:bottom w:val="none" w:sz="0" w:space="0" w:color="auto"/>
                <w:right w:val="none" w:sz="0" w:space="0" w:color="auto"/>
              </w:divBdr>
              <w:divsChild>
                <w:div w:id="545484289">
                  <w:marLeft w:val="0"/>
                  <w:marRight w:val="0"/>
                  <w:marTop w:val="0"/>
                  <w:marBottom w:val="0"/>
                  <w:divBdr>
                    <w:top w:val="none" w:sz="0" w:space="0" w:color="auto"/>
                    <w:left w:val="none" w:sz="0" w:space="0" w:color="auto"/>
                    <w:bottom w:val="none" w:sz="0" w:space="0" w:color="auto"/>
                    <w:right w:val="none" w:sz="0" w:space="0" w:color="auto"/>
                  </w:divBdr>
                  <w:divsChild>
                    <w:div w:id="1077241607">
                      <w:marLeft w:val="0"/>
                      <w:marRight w:val="0"/>
                      <w:marTop w:val="0"/>
                      <w:marBottom w:val="0"/>
                      <w:divBdr>
                        <w:top w:val="none" w:sz="0" w:space="0" w:color="auto"/>
                        <w:left w:val="none" w:sz="0" w:space="0" w:color="auto"/>
                        <w:bottom w:val="none" w:sz="0" w:space="0" w:color="auto"/>
                        <w:right w:val="none" w:sz="0" w:space="0" w:color="auto"/>
                      </w:divBdr>
                      <w:divsChild>
                        <w:div w:id="1917087493">
                          <w:marLeft w:val="0"/>
                          <w:marRight w:val="0"/>
                          <w:marTop w:val="0"/>
                          <w:marBottom w:val="0"/>
                          <w:divBdr>
                            <w:top w:val="none" w:sz="0" w:space="0" w:color="auto"/>
                            <w:left w:val="none" w:sz="0" w:space="0" w:color="auto"/>
                            <w:bottom w:val="none" w:sz="0" w:space="0" w:color="auto"/>
                            <w:right w:val="none" w:sz="0" w:space="0" w:color="auto"/>
                          </w:divBdr>
                          <w:divsChild>
                            <w:div w:id="2052682830">
                              <w:marLeft w:val="0"/>
                              <w:marRight w:val="0"/>
                              <w:marTop w:val="0"/>
                              <w:marBottom w:val="0"/>
                              <w:divBdr>
                                <w:top w:val="none" w:sz="0" w:space="0" w:color="auto"/>
                                <w:left w:val="none" w:sz="0" w:space="0" w:color="auto"/>
                                <w:bottom w:val="none" w:sz="0" w:space="0" w:color="auto"/>
                                <w:right w:val="none" w:sz="0" w:space="0" w:color="auto"/>
                              </w:divBdr>
                              <w:divsChild>
                                <w:div w:id="1791778532">
                                  <w:marLeft w:val="0"/>
                                  <w:marRight w:val="0"/>
                                  <w:marTop w:val="0"/>
                                  <w:marBottom w:val="0"/>
                                  <w:divBdr>
                                    <w:top w:val="none" w:sz="0" w:space="0" w:color="auto"/>
                                    <w:left w:val="none" w:sz="0" w:space="0" w:color="auto"/>
                                    <w:bottom w:val="none" w:sz="0" w:space="0" w:color="auto"/>
                                    <w:right w:val="none" w:sz="0" w:space="0" w:color="auto"/>
                                  </w:divBdr>
                                  <w:divsChild>
                                    <w:div w:id="1937010935">
                                      <w:marLeft w:val="60"/>
                                      <w:marRight w:val="0"/>
                                      <w:marTop w:val="0"/>
                                      <w:marBottom w:val="0"/>
                                      <w:divBdr>
                                        <w:top w:val="none" w:sz="0" w:space="0" w:color="auto"/>
                                        <w:left w:val="none" w:sz="0" w:space="0" w:color="auto"/>
                                        <w:bottom w:val="none" w:sz="0" w:space="0" w:color="auto"/>
                                        <w:right w:val="none" w:sz="0" w:space="0" w:color="auto"/>
                                      </w:divBdr>
                                      <w:divsChild>
                                        <w:div w:id="1342471233">
                                          <w:marLeft w:val="0"/>
                                          <w:marRight w:val="0"/>
                                          <w:marTop w:val="0"/>
                                          <w:marBottom w:val="0"/>
                                          <w:divBdr>
                                            <w:top w:val="none" w:sz="0" w:space="0" w:color="auto"/>
                                            <w:left w:val="none" w:sz="0" w:space="0" w:color="auto"/>
                                            <w:bottom w:val="none" w:sz="0" w:space="0" w:color="auto"/>
                                            <w:right w:val="none" w:sz="0" w:space="0" w:color="auto"/>
                                          </w:divBdr>
                                          <w:divsChild>
                                            <w:div w:id="1905872443">
                                              <w:marLeft w:val="0"/>
                                              <w:marRight w:val="0"/>
                                              <w:marTop w:val="0"/>
                                              <w:marBottom w:val="120"/>
                                              <w:divBdr>
                                                <w:top w:val="single" w:sz="6" w:space="0" w:color="F5F5F5"/>
                                                <w:left w:val="single" w:sz="6" w:space="0" w:color="F5F5F5"/>
                                                <w:bottom w:val="single" w:sz="6" w:space="0" w:color="F5F5F5"/>
                                                <w:right w:val="single" w:sz="6" w:space="0" w:color="F5F5F5"/>
                                              </w:divBdr>
                                              <w:divsChild>
                                                <w:div w:id="311058128">
                                                  <w:marLeft w:val="0"/>
                                                  <w:marRight w:val="0"/>
                                                  <w:marTop w:val="0"/>
                                                  <w:marBottom w:val="0"/>
                                                  <w:divBdr>
                                                    <w:top w:val="none" w:sz="0" w:space="0" w:color="auto"/>
                                                    <w:left w:val="none" w:sz="0" w:space="0" w:color="auto"/>
                                                    <w:bottom w:val="none" w:sz="0" w:space="0" w:color="auto"/>
                                                    <w:right w:val="none" w:sz="0" w:space="0" w:color="auto"/>
                                                  </w:divBdr>
                                                  <w:divsChild>
                                                    <w:div w:id="1900633906">
                                                      <w:marLeft w:val="0"/>
                                                      <w:marRight w:val="0"/>
                                                      <w:marTop w:val="0"/>
                                                      <w:marBottom w:val="0"/>
                                                      <w:divBdr>
                                                        <w:top w:val="none" w:sz="0" w:space="0" w:color="auto"/>
                                                        <w:left w:val="none" w:sz="0" w:space="0" w:color="auto"/>
                                                        <w:bottom w:val="none" w:sz="0" w:space="0" w:color="auto"/>
                                                        <w:right w:val="none" w:sz="0" w:space="0" w:color="auto"/>
                                                      </w:divBdr>
                                                    </w:div>
                                                  </w:divsChild>
                                                </w:div>
                                                <w:div w:id="1152138310">
                                                  <w:marLeft w:val="0"/>
                                                  <w:marRight w:val="0"/>
                                                  <w:marTop w:val="0"/>
                                                  <w:marBottom w:val="0"/>
                                                  <w:divBdr>
                                                    <w:top w:val="none" w:sz="0" w:space="0" w:color="auto"/>
                                                    <w:left w:val="none" w:sz="0" w:space="0" w:color="auto"/>
                                                    <w:bottom w:val="none" w:sz="0" w:space="0" w:color="auto"/>
                                                    <w:right w:val="none" w:sz="0" w:space="0" w:color="auto"/>
                                                  </w:divBdr>
                                                  <w:divsChild>
                                                    <w:div w:id="587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992922">
      <w:bodyDiv w:val="1"/>
      <w:marLeft w:val="0"/>
      <w:marRight w:val="0"/>
      <w:marTop w:val="0"/>
      <w:marBottom w:val="0"/>
      <w:divBdr>
        <w:top w:val="none" w:sz="0" w:space="0" w:color="auto"/>
        <w:left w:val="none" w:sz="0" w:space="0" w:color="auto"/>
        <w:bottom w:val="none" w:sz="0" w:space="0" w:color="auto"/>
        <w:right w:val="none" w:sz="0" w:space="0" w:color="auto"/>
      </w:divBdr>
    </w:div>
    <w:div w:id="867180799">
      <w:bodyDiv w:val="1"/>
      <w:marLeft w:val="0"/>
      <w:marRight w:val="0"/>
      <w:marTop w:val="0"/>
      <w:marBottom w:val="0"/>
      <w:divBdr>
        <w:top w:val="none" w:sz="0" w:space="0" w:color="auto"/>
        <w:left w:val="none" w:sz="0" w:space="0" w:color="auto"/>
        <w:bottom w:val="none" w:sz="0" w:space="0" w:color="auto"/>
        <w:right w:val="none" w:sz="0" w:space="0" w:color="auto"/>
      </w:divBdr>
    </w:div>
    <w:div w:id="956567330">
      <w:bodyDiv w:val="1"/>
      <w:marLeft w:val="0"/>
      <w:marRight w:val="0"/>
      <w:marTop w:val="0"/>
      <w:marBottom w:val="0"/>
      <w:divBdr>
        <w:top w:val="none" w:sz="0" w:space="0" w:color="auto"/>
        <w:left w:val="none" w:sz="0" w:space="0" w:color="auto"/>
        <w:bottom w:val="none" w:sz="0" w:space="0" w:color="auto"/>
        <w:right w:val="none" w:sz="0" w:space="0" w:color="auto"/>
      </w:divBdr>
      <w:divsChild>
        <w:div w:id="223298149">
          <w:marLeft w:val="144"/>
          <w:marRight w:val="0"/>
          <w:marTop w:val="240"/>
          <w:marBottom w:val="40"/>
          <w:divBdr>
            <w:top w:val="none" w:sz="0" w:space="0" w:color="auto"/>
            <w:left w:val="none" w:sz="0" w:space="0" w:color="auto"/>
            <w:bottom w:val="none" w:sz="0" w:space="0" w:color="auto"/>
            <w:right w:val="none" w:sz="0" w:space="0" w:color="auto"/>
          </w:divBdr>
        </w:div>
      </w:divsChild>
    </w:div>
    <w:div w:id="1005326689">
      <w:bodyDiv w:val="1"/>
      <w:marLeft w:val="0"/>
      <w:marRight w:val="0"/>
      <w:marTop w:val="0"/>
      <w:marBottom w:val="0"/>
      <w:divBdr>
        <w:top w:val="none" w:sz="0" w:space="0" w:color="auto"/>
        <w:left w:val="none" w:sz="0" w:space="0" w:color="auto"/>
        <w:bottom w:val="none" w:sz="0" w:space="0" w:color="auto"/>
        <w:right w:val="none" w:sz="0" w:space="0" w:color="auto"/>
      </w:divBdr>
    </w:div>
    <w:div w:id="1463840008">
      <w:bodyDiv w:val="1"/>
      <w:marLeft w:val="0"/>
      <w:marRight w:val="0"/>
      <w:marTop w:val="0"/>
      <w:marBottom w:val="0"/>
      <w:divBdr>
        <w:top w:val="none" w:sz="0" w:space="0" w:color="auto"/>
        <w:left w:val="none" w:sz="0" w:space="0" w:color="auto"/>
        <w:bottom w:val="none" w:sz="0" w:space="0" w:color="auto"/>
        <w:right w:val="none" w:sz="0" w:space="0" w:color="auto"/>
      </w:divBdr>
    </w:div>
    <w:div w:id="1974287693">
      <w:bodyDiv w:val="1"/>
      <w:marLeft w:val="0"/>
      <w:marRight w:val="0"/>
      <w:marTop w:val="0"/>
      <w:marBottom w:val="0"/>
      <w:divBdr>
        <w:top w:val="none" w:sz="0" w:space="0" w:color="auto"/>
        <w:left w:val="none" w:sz="0" w:space="0" w:color="auto"/>
        <w:bottom w:val="none" w:sz="0" w:space="0" w:color="auto"/>
        <w:right w:val="none" w:sz="0" w:space="0" w:color="auto"/>
      </w:divBdr>
      <w:divsChild>
        <w:div w:id="761800203">
          <w:marLeft w:val="0"/>
          <w:marRight w:val="0"/>
          <w:marTop w:val="0"/>
          <w:marBottom w:val="0"/>
          <w:divBdr>
            <w:top w:val="none" w:sz="0" w:space="0" w:color="auto"/>
            <w:left w:val="none" w:sz="0" w:space="0" w:color="auto"/>
            <w:bottom w:val="none" w:sz="0" w:space="0" w:color="auto"/>
            <w:right w:val="none" w:sz="0" w:space="0" w:color="auto"/>
          </w:divBdr>
          <w:divsChild>
            <w:div w:id="294143165">
              <w:marLeft w:val="60"/>
              <w:marRight w:val="0"/>
              <w:marTop w:val="0"/>
              <w:marBottom w:val="0"/>
              <w:divBdr>
                <w:top w:val="none" w:sz="0" w:space="0" w:color="auto"/>
                <w:left w:val="none" w:sz="0" w:space="0" w:color="auto"/>
                <w:bottom w:val="none" w:sz="0" w:space="0" w:color="auto"/>
                <w:right w:val="none" w:sz="0" w:space="0" w:color="auto"/>
              </w:divBdr>
              <w:divsChild>
                <w:div w:id="261913395">
                  <w:marLeft w:val="0"/>
                  <w:marRight w:val="0"/>
                  <w:marTop w:val="0"/>
                  <w:marBottom w:val="0"/>
                  <w:divBdr>
                    <w:top w:val="none" w:sz="0" w:space="0" w:color="auto"/>
                    <w:left w:val="none" w:sz="0" w:space="0" w:color="auto"/>
                    <w:bottom w:val="none" w:sz="0" w:space="0" w:color="auto"/>
                    <w:right w:val="none" w:sz="0" w:space="0" w:color="auto"/>
                  </w:divBdr>
                  <w:divsChild>
                    <w:div w:id="159349038">
                      <w:marLeft w:val="0"/>
                      <w:marRight w:val="0"/>
                      <w:marTop w:val="0"/>
                      <w:marBottom w:val="120"/>
                      <w:divBdr>
                        <w:top w:val="single" w:sz="6" w:space="0" w:color="F5F5F5"/>
                        <w:left w:val="single" w:sz="6" w:space="0" w:color="F5F5F5"/>
                        <w:bottom w:val="single" w:sz="6" w:space="0" w:color="F5F5F5"/>
                        <w:right w:val="single" w:sz="6" w:space="0" w:color="F5F5F5"/>
                      </w:divBdr>
                      <w:divsChild>
                        <w:div w:id="61100565">
                          <w:marLeft w:val="0"/>
                          <w:marRight w:val="0"/>
                          <w:marTop w:val="0"/>
                          <w:marBottom w:val="0"/>
                          <w:divBdr>
                            <w:top w:val="none" w:sz="0" w:space="0" w:color="auto"/>
                            <w:left w:val="none" w:sz="0" w:space="0" w:color="auto"/>
                            <w:bottom w:val="none" w:sz="0" w:space="0" w:color="auto"/>
                            <w:right w:val="none" w:sz="0" w:space="0" w:color="auto"/>
                          </w:divBdr>
                          <w:divsChild>
                            <w:div w:id="152104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937588">
          <w:marLeft w:val="0"/>
          <w:marRight w:val="0"/>
          <w:marTop w:val="0"/>
          <w:marBottom w:val="0"/>
          <w:divBdr>
            <w:top w:val="none" w:sz="0" w:space="0" w:color="auto"/>
            <w:left w:val="none" w:sz="0" w:space="0" w:color="auto"/>
            <w:bottom w:val="none" w:sz="0" w:space="0" w:color="auto"/>
            <w:right w:val="none" w:sz="0" w:space="0" w:color="auto"/>
          </w:divBdr>
          <w:divsChild>
            <w:div w:id="40834439">
              <w:marLeft w:val="0"/>
              <w:marRight w:val="60"/>
              <w:marTop w:val="0"/>
              <w:marBottom w:val="0"/>
              <w:divBdr>
                <w:top w:val="none" w:sz="0" w:space="0" w:color="auto"/>
                <w:left w:val="none" w:sz="0" w:space="0" w:color="auto"/>
                <w:bottom w:val="none" w:sz="0" w:space="0" w:color="auto"/>
                <w:right w:val="none" w:sz="0" w:space="0" w:color="auto"/>
              </w:divBdr>
              <w:divsChild>
                <w:div w:id="473525963">
                  <w:marLeft w:val="0"/>
                  <w:marRight w:val="0"/>
                  <w:marTop w:val="0"/>
                  <w:marBottom w:val="120"/>
                  <w:divBdr>
                    <w:top w:val="single" w:sz="6" w:space="0" w:color="C0C0C0"/>
                    <w:left w:val="single" w:sz="6" w:space="0" w:color="D9D9D9"/>
                    <w:bottom w:val="single" w:sz="6" w:space="0" w:color="D9D9D9"/>
                    <w:right w:val="single" w:sz="6" w:space="0" w:color="D9D9D9"/>
                  </w:divBdr>
                  <w:divsChild>
                    <w:div w:id="1461455715">
                      <w:marLeft w:val="0"/>
                      <w:marRight w:val="0"/>
                      <w:marTop w:val="0"/>
                      <w:marBottom w:val="0"/>
                      <w:divBdr>
                        <w:top w:val="none" w:sz="0" w:space="0" w:color="auto"/>
                        <w:left w:val="none" w:sz="0" w:space="0" w:color="auto"/>
                        <w:bottom w:val="none" w:sz="0" w:space="0" w:color="auto"/>
                        <w:right w:val="none" w:sz="0" w:space="0" w:color="auto"/>
                      </w:divBdr>
                    </w:div>
                    <w:div w:id="17248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8C2CF-93FE-4784-9413-8BDD6176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5952</Words>
  <Characters>33931</Characters>
  <Application>Microsoft Office Word</Application>
  <DocSecurity>0</DocSecurity>
  <Lines>282</Lines>
  <Paragraphs>79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Agenzia delle Entrate</Company>
  <LinksUpToDate>false</LinksUpToDate>
  <CharactersWithSpaces>39804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Agenzia delle entrate</dc:creator>
  <cp:keywords/>
  <dc:description/>
  <cp:lastModifiedBy>Amela Kora</cp:lastModifiedBy>
  <cp:revision>2</cp:revision>
  <cp:lastPrinted>2019-03-29T10:12:00Z</cp:lastPrinted>
  <dcterms:created xsi:type="dcterms:W3CDTF">2019-04-02T13:46:00Z</dcterms:created>
  <dcterms:modified xsi:type="dcterms:W3CDTF">2019-04-02T13:46:00Z</dcterms:modified>
</cp:coreProperties>
</file>